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A1" w:rsidRPr="00B46AF4" w:rsidRDefault="009C0EA1" w:rsidP="00B46A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4466">
        <w:rPr>
          <w:rFonts w:ascii="Times New Roman" w:hAnsi="Times New Roman" w:cs="Times New Roman"/>
          <w:b/>
          <w:sz w:val="28"/>
          <w:szCs w:val="28"/>
        </w:rPr>
        <w:t>А.Р. Мустафин</w:t>
      </w:r>
    </w:p>
    <w:p w:rsidR="000041B4" w:rsidRPr="00B46AF4" w:rsidRDefault="000041B4" w:rsidP="00B46A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466">
        <w:rPr>
          <w:rFonts w:ascii="Times New Roman" w:hAnsi="Times New Roman" w:cs="Times New Roman"/>
          <w:b/>
          <w:sz w:val="28"/>
          <w:szCs w:val="28"/>
        </w:rPr>
        <w:t xml:space="preserve">Цены на соль Русского Севера </w:t>
      </w:r>
      <w:r w:rsidR="00FF687B" w:rsidRPr="0024446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509B" w:rsidRPr="00244466">
        <w:rPr>
          <w:rFonts w:ascii="Times New Roman" w:hAnsi="Times New Roman" w:cs="Times New Roman"/>
          <w:b/>
          <w:sz w:val="28"/>
          <w:szCs w:val="28"/>
        </w:rPr>
        <w:t>1640 – 1670-ые гг</w:t>
      </w:r>
      <w:r w:rsidR="00A4509B" w:rsidRPr="00B46AF4">
        <w:rPr>
          <w:rFonts w:ascii="Times New Roman" w:hAnsi="Times New Roman" w:cs="Times New Roman"/>
          <w:sz w:val="28"/>
          <w:szCs w:val="28"/>
        </w:rPr>
        <w:t>.</w:t>
      </w:r>
    </w:p>
    <w:p w:rsidR="008556A4" w:rsidRDefault="008556A4" w:rsidP="00B4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09B" w:rsidRPr="00B46AF4" w:rsidRDefault="00162356" w:rsidP="00B4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F4">
        <w:rPr>
          <w:rFonts w:ascii="Times New Roman" w:hAnsi="Times New Roman" w:cs="Times New Roman"/>
          <w:sz w:val="28"/>
          <w:szCs w:val="28"/>
        </w:rPr>
        <w:t>Сведения о ценах вызывают интерес у исследователей при решении целого комплекса задач как на микр</w:t>
      </w:r>
      <w:proofErr w:type="gramStart"/>
      <w:r w:rsidRPr="00B46A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6AF4">
        <w:rPr>
          <w:rFonts w:ascii="Times New Roman" w:hAnsi="Times New Roman" w:cs="Times New Roman"/>
          <w:sz w:val="28"/>
          <w:szCs w:val="28"/>
        </w:rPr>
        <w:t xml:space="preserve">, так и на </w:t>
      </w:r>
      <w:proofErr w:type="spellStart"/>
      <w:r w:rsidRPr="00B46AF4">
        <w:rPr>
          <w:rFonts w:ascii="Times New Roman" w:hAnsi="Times New Roman" w:cs="Times New Roman"/>
          <w:sz w:val="28"/>
          <w:szCs w:val="28"/>
        </w:rPr>
        <w:t>макроисторическом</w:t>
      </w:r>
      <w:proofErr w:type="spellEnd"/>
      <w:r w:rsidRPr="00B46AF4">
        <w:rPr>
          <w:rFonts w:ascii="Times New Roman" w:hAnsi="Times New Roman" w:cs="Times New Roman"/>
          <w:sz w:val="28"/>
          <w:szCs w:val="28"/>
        </w:rPr>
        <w:t xml:space="preserve"> уровне.</w:t>
      </w:r>
      <w:r w:rsidR="00A4509B" w:rsidRPr="00B46AF4">
        <w:rPr>
          <w:rFonts w:ascii="Times New Roman" w:hAnsi="Times New Roman" w:cs="Times New Roman"/>
          <w:sz w:val="28"/>
          <w:szCs w:val="28"/>
        </w:rPr>
        <w:t xml:space="preserve"> Обращаясь к исследованиям по истории цен в России, мы можем оценить их движение в </w:t>
      </w:r>
      <w:r w:rsidR="00A4509B" w:rsidRPr="00B46AF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A4509B" w:rsidRPr="00B46AF4">
        <w:rPr>
          <w:rFonts w:ascii="Times New Roman" w:hAnsi="Times New Roman" w:cs="Times New Roman"/>
          <w:sz w:val="28"/>
          <w:szCs w:val="28"/>
        </w:rPr>
        <w:t xml:space="preserve">, </w:t>
      </w:r>
      <w:r w:rsidR="00A4509B" w:rsidRPr="00B46AF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4509B" w:rsidRPr="00B46AF4">
        <w:rPr>
          <w:rFonts w:ascii="Times New Roman" w:hAnsi="Times New Roman" w:cs="Times New Roman"/>
          <w:sz w:val="28"/>
          <w:szCs w:val="28"/>
        </w:rPr>
        <w:t xml:space="preserve"> и в последующих столетиях</w:t>
      </w:r>
      <w:r w:rsidR="00385D4B">
        <w:rPr>
          <w:rFonts w:ascii="Times New Roman" w:hAnsi="Times New Roman" w:cs="Times New Roman"/>
          <w:sz w:val="28"/>
          <w:szCs w:val="28"/>
        </w:rPr>
        <w:t xml:space="preserve">. </w:t>
      </w:r>
      <w:r w:rsidR="00A4509B" w:rsidRPr="00B46AF4">
        <w:rPr>
          <w:rFonts w:ascii="Times New Roman" w:hAnsi="Times New Roman" w:cs="Times New Roman"/>
          <w:sz w:val="28"/>
          <w:szCs w:val="28"/>
        </w:rPr>
        <w:t xml:space="preserve">Однако фактически неизученным остается движение цен в </w:t>
      </w:r>
      <w:r w:rsidR="00A4509B" w:rsidRPr="00B46AF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A4509B" w:rsidRPr="00B46AF4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A4611" w:rsidRPr="00B46AF4" w:rsidRDefault="00A4509B" w:rsidP="00B4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F4">
        <w:rPr>
          <w:rFonts w:ascii="Times New Roman" w:hAnsi="Times New Roman" w:cs="Times New Roman"/>
          <w:sz w:val="28"/>
          <w:szCs w:val="28"/>
        </w:rPr>
        <w:t xml:space="preserve">В представленном исследовании реконструируются ряды цен на соль в 1640 – 1670-ые гг. на основе сведений приходо-расходных книг </w:t>
      </w:r>
      <w:r w:rsidR="005855A8" w:rsidRPr="00B46AF4">
        <w:rPr>
          <w:rFonts w:ascii="Times New Roman" w:hAnsi="Times New Roman" w:cs="Times New Roman"/>
          <w:sz w:val="28"/>
          <w:szCs w:val="28"/>
        </w:rPr>
        <w:t>Соловецкого монастыря и К</w:t>
      </w:r>
      <w:r w:rsidR="00480A21" w:rsidRPr="00B46AF4">
        <w:rPr>
          <w:rFonts w:ascii="Times New Roman" w:hAnsi="Times New Roman" w:cs="Times New Roman"/>
          <w:sz w:val="28"/>
          <w:szCs w:val="28"/>
        </w:rPr>
        <w:t xml:space="preserve">ирилло-Белозерского монастыря. </w:t>
      </w:r>
      <w:r w:rsidR="00773DED" w:rsidRPr="00B46AF4">
        <w:rPr>
          <w:rFonts w:ascii="Times New Roman" w:hAnsi="Times New Roman" w:cs="Times New Roman"/>
          <w:sz w:val="28"/>
          <w:szCs w:val="28"/>
        </w:rPr>
        <w:t xml:space="preserve">При </w:t>
      </w:r>
      <w:r w:rsidR="00743E43" w:rsidRPr="00B46AF4">
        <w:rPr>
          <w:rFonts w:ascii="Times New Roman" w:hAnsi="Times New Roman" w:cs="Times New Roman"/>
          <w:sz w:val="28"/>
          <w:szCs w:val="28"/>
        </w:rPr>
        <w:t xml:space="preserve">анализе приходо-расходных книг исследователь сталкивается </w:t>
      </w:r>
      <w:r w:rsidR="009B1044" w:rsidRPr="00B46AF4">
        <w:rPr>
          <w:rFonts w:ascii="Times New Roman" w:hAnsi="Times New Roman" w:cs="Times New Roman"/>
          <w:sz w:val="28"/>
          <w:szCs w:val="28"/>
        </w:rPr>
        <w:t xml:space="preserve">с </w:t>
      </w:r>
      <w:r w:rsidR="00346111" w:rsidRPr="00B46AF4">
        <w:rPr>
          <w:rFonts w:ascii="Times New Roman" w:hAnsi="Times New Roman" w:cs="Times New Roman"/>
          <w:sz w:val="28"/>
          <w:szCs w:val="28"/>
        </w:rPr>
        <w:t>многочисленными</w:t>
      </w:r>
      <w:r w:rsidR="00743E43" w:rsidRPr="00B46AF4">
        <w:rPr>
          <w:rFonts w:ascii="Times New Roman" w:hAnsi="Times New Roman" w:cs="Times New Roman"/>
          <w:sz w:val="28"/>
          <w:szCs w:val="28"/>
        </w:rPr>
        <w:t xml:space="preserve"> статистичес</w:t>
      </w:r>
      <w:r w:rsidR="00346111" w:rsidRPr="00B46AF4">
        <w:rPr>
          <w:rFonts w:ascii="Times New Roman" w:hAnsi="Times New Roman" w:cs="Times New Roman"/>
          <w:sz w:val="28"/>
          <w:szCs w:val="28"/>
        </w:rPr>
        <w:t>кими проблемами и ограничениями</w:t>
      </w:r>
      <w:r w:rsidR="00743E43" w:rsidRPr="00B46AF4">
        <w:rPr>
          <w:rFonts w:ascii="Times New Roman" w:hAnsi="Times New Roman" w:cs="Times New Roman"/>
          <w:sz w:val="28"/>
          <w:szCs w:val="28"/>
        </w:rPr>
        <w:t xml:space="preserve">. Среди важнейших </w:t>
      </w:r>
      <w:r w:rsidR="00B711E9">
        <w:rPr>
          <w:rFonts w:ascii="Times New Roman" w:hAnsi="Times New Roman" w:cs="Times New Roman"/>
          <w:sz w:val="28"/>
          <w:szCs w:val="28"/>
        </w:rPr>
        <w:t>нужно</w:t>
      </w:r>
      <w:r w:rsidR="00743E43" w:rsidRPr="00B46AF4">
        <w:rPr>
          <w:rFonts w:ascii="Times New Roman" w:hAnsi="Times New Roman" w:cs="Times New Roman"/>
          <w:sz w:val="28"/>
          <w:szCs w:val="28"/>
        </w:rPr>
        <w:t xml:space="preserve"> упомянуть следующие</w:t>
      </w:r>
      <w:r w:rsidR="000A4611" w:rsidRPr="00B46AF4">
        <w:rPr>
          <w:rFonts w:ascii="Times New Roman" w:hAnsi="Times New Roman" w:cs="Times New Roman"/>
          <w:sz w:val="28"/>
          <w:szCs w:val="28"/>
        </w:rPr>
        <w:t>.</w:t>
      </w:r>
    </w:p>
    <w:p w:rsidR="00E458C7" w:rsidRPr="00B46AF4" w:rsidRDefault="00346111" w:rsidP="00B4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F4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9B1044" w:rsidRPr="00B46AF4">
        <w:rPr>
          <w:rFonts w:ascii="Times New Roman" w:hAnsi="Times New Roman" w:cs="Times New Roman"/>
          <w:sz w:val="28"/>
          <w:szCs w:val="28"/>
        </w:rPr>
        <w:t xml:space="preserve">эта проблема </w:t>
      </w:r>
      <w:r w:rsidR="00C40184" w:rsidRPr="00B46AF4">
        <w:rPr>
          <w:rFonts w:ascii="Times New Roman" w:hAnsi="Times New Roman" w:cs="Times New Roman"/>
          <w:sz w:val="28"/>
          <w:szCs w:val="28"/>
        </w:rPr>
        <w:t>определения</w:t>
      </w:r>
      <w:r w:rsidRPr="00B46AF4">
        <w:rPr>
          <w:rFonts w:ascii="Times New Roman" w:hAnsi="Times New Roman" w:cs="Times New Roman"/>
          <w:sz w:val="28"/>
          <w:szCs w:val="28"/>
        </w:rPr>
        <w:t xml:space="preserve"> среднегодовой цены</w:t>
      </w:r>
      <w:r w:rsidR="009B1044" w:rsidRPr="00B46AF4">
        <w:rPr>
          <w:rFonts w:ascii="Times New Roman" w:hAnsi="Times New Roman" w:cs="Times New Roman"/>
          <w:sz w:val="28"/>
          <w:szCs w:val="28"/>
        </w:rPr>
        <w:t xml:space="preserve">. </w:t>
      </w:r>
      <w:r w:rsidR="00C40184" w:rsidRPr="00B46AF4">
        <w:rPr>
          <w:rFonts w:ascii="Times New Roman" w:hAnsi="Times New Roman" w:cs="Times New Roman"/>
          <w:sz w:val="28"/>
          <w:szCs w:val="28"/>
        </w:rPr>
        <w:t xml:space="preserve">Дело в том, что </w:t>
      </w:r>
      <w:r w:rsidR="0087656C" w:rsidRPr="00B46AF4">
        <w:rPr>
          <w:rFonts w:ascii="Times New Roman" w:hAnsi="Times New Roman" w:cs="Times New Roman"/>
          <w:sz w:val="28"/>
          <w:szCs w:val="28"/>
        </w:rPr>
        <w:t xml:space="preserve">в </w:t>
      </w:r>
      <w:r w:rsidR="00C40184" w:rsidRPr="00B46AF4">
        <w:rPr>
          <w:rFonts w:ascii="Times New Roman" w:hAnsi="Times New Roman" w:cs="Times New Roman"/>
          <w:sz w:val="28"/>
          <w:szCs w:val="28"/>
        </w:rPr>
        <w:t xml:space="preserve">приходо-расходных </w:t>
      </w:r>
      <w:r w:rsidR="0087656C" w:rsidRPr="00B46AF4">
        <w:rPr>
          <w:rFonts w:ascii="Times New Roman" w:hAnsi="Times New Roman" w:cs="Times New Roman"/>
          <w:sz w:val="28"/>
          <w:szCs w:val="28"/>
        </w:rPr>
        <w:t>книгах, как правило, указывались цена</w:t>
      </w:r>
      <w:r w:rsidR="00A81149" w:rsidRPr="00B46AF4">
        <w:rPr>
          <w:rFonts w:ascii="Times New Roman" w:hAnsi="Times New Roman" w:cs="Times New Roman"/>
          <w:sz w:val="28"/>
          <w:szCs w:val="28"/>
        </w:rPr>
        <w:t xml:space="preserve"> </w:t>
      </w:r>
      <w:r w:rsidR="00C40184" w:rsidRPr="00B46AF4">
        <w:rPr>
          <w:rFonts w:ascii="Times New Roman" w:hAnsi="Times New Roman" w:cs="Times New Roman"/>
          <w:sz w:val="28"/>
          <w:szCs w:val="28"/>
        </w:rPr>
        <w:t>товара</w:t>
      </w:r>
      <w:r w:rsidR="0087656C" w:rsidRPr="00B46AF4">
        <w:rPr>
          <w:rFonts w:ascii="Times New Roman" w:hAnsi="Times New Roman" w:cs="Times New Roman"/>
          <w:sz w:val="28"/>
          <w:szCs w:val="28"/>
        </w:rPr>
        <w:t xml:space="preserve"> и </w:t>
      </w:r>
      <w:r w:rsidR="00C40184" w:rsidRPr="00B46AF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7656C" w:rsidRPr="00B46AF4">
        <w:rPr>
          <w:rFonts w:ascii="Times New Roman" w:hAnsi="Times New Roman" w:cs="Times New Roman"/>
          <w:sz w:val="28"/>
          <w:szCs w:val="28"/>
        </w:rPr>
        <w:t xml:space="preserve">проданного товара по каждой сделке. </w:t>
      </w:r>
      <w:r w:rsidR="005E6E50" w:rsidRPr="00B46AF4">
        <w:rPr>
          <w:rFonts w:ascii="Times New Roman" w:hAnsi="Times New Roman" w:cs="Times New Roman"/>
          <w:sz w:val="28"/>
          <w:szCs w:val="28"/>
        </w:rPr>
        <w:t xml:space="preserve">Поэтому возможно использование различных способов расчета среднегодовой цены. </w:t>
      </w:r>
      <w:r w:rsidR="00895768" w:rsidRPr="00B46AF4">
        <w:rPr>
          <w:rFonts w:ascii="Times New Roman" w:hAnsi="Times New Roman" w:cs="Times New Roman"/>
          <w:sz w:val="28"/>
          <w:szCs w:val="28"/>
        </w:rPr>
        <w:t>Отметим, что ее расчет по формуле</w:t>
      </w:r>
      <w:r w:rsidR="00C97A51" w:rsidRPr="00B46AF4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C16FBA" w:rsidRPr="00B46AF4">
        <w:rPr>
          <w:rFonts w:ascii="Times New Roman" w:hAnsi="Times New Roman" w:cs="Times New Roman"/>
          <w:sz w:val="28"/>
          <w:szCs w:val="28"/>
        </w:rPr>
        <w:t xml:space="preserve">й </w:t>
      </w:r>
      <w:r w:rsidR="00C97A51" w:rsidRPr="00B46AF4">
        <w:rPr>
          <w:rFonts w:ascii="Times New Roman" w:hAnsi="Times New Roman" w:cs="Times New Roman"/>
          <w:sz w:val="28"/>
          <w:szCs w:val="28"/>
        </w:rPr>
        <w:t xml:space="preserve">арифметической </w:t>
      </w:r>
      <w:r w:rsidR="00C16FBA" w:rsidRPr="00B46AF4">
        <w:rPr>
          <w:rFonts w:ascii="Times New Roman" w:hAnsi="Times New Roman" w:cs="Times New Roman"/>
          <w:sz w:val="28"/>
          <w:szCs w:val="28"/>
        </w:rPr>
        <w:t xml:space="preserve">(простой </w:t>
      </w:r>
      <w:r w:rsidR="00C97A51" w:rsidRPr="00B46AF4">
        <w:rPr>
          <w:rFonts w:ascii="Times New Roman" w:hAnsi="Times New Roman" w:cs="Times New Roman"/>
          <w:sz w:val="28"/>
          <w:szCs w:val="28"/>
        </w:rPr>
        <w:t>или взвешенной</w:t>
      </w:r>
      <w:r w:rsidR="00C16FBA" w:rsidRPr="00B46AF4">
        <w:rPr>
          <w:rFonts w:ascii="Times New Roman" w:hAnsi="Times New Roman" w:cs="Times New Roman"/>
          <w:sz w:val="28"/>
          <w:szCs w:val="28"/>
        </w:rPr>
        <w:t>), моды или медианы</w:t>
      </w:r>
      <w:r w:rsidR="00895768" w:rsidRPr="00B46AF4">
        <w:rPr>
          <w:rFonts w:ascii="Times New Roman" w:hAnsi="Times New Roman" w:cs="Times New Roman"/>
          <w:sz w:val="28"/>
          <w:szCs w:val="28"/>
        </w:rPr>
        <w:t xml:space="preserve"> </w:t>
      </w:r>
      <w:r w:rsidR="00CD7FEC" w:rsidRPr="00B46AF4">
        <w:rPr>
          <w:rFonts w:ascii="Times New Roman" w:hAnsi="Times New Roman" w:cs="Times New Roman"/>
          <w:sz w:val="28"/>
          <w:szCs w:val="28"/>
        </w:rPr>
        <w:t>достаточно сложен на практике</w:t>
      </w:r>
      <w:r w:rsidR="00E458C7" w:rsidRPr="00B46AF4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096D55" w:rsidRPr="00B46AF4">
        <w:rPr>
          <w:rFonts w:ascii="Times New Roman" w:hAnsi="Times New Roman" w:cs="Times New Roman"/>
          <w:sz w:val="28"/>
          <w:szCs w:val="28"/>
        </w:rPr>
        <w:t xml:space="preserve">за каждый месяц </w:t>
      </w:r>
      <w:r w:rsidR="00E458C7" w:rsidRPr="00B46AF4">
        <w:rPr>
          <w:rFonts w:ascii="Times New Roman" w:hAnsi="Times New Roman" w:cs="Times New Roman"/>
          <w:sz w:val="28"/>
          <w:szCs w:val="28"/>
        </w:rPr>
        <w:t xml:space="preserve">приходо-расходные книги рассматриваемого региона </w:t>
      </w:r>
      <w:r w:rsidR="00096D55" w:rsidRPr="00B46AF4">
        <w:rPr>
          <w:rFonts w:ascii="Times New Roman" w:hAnsi="Times New Roman" w:cs="Times New Roman"/>
          <w:sz w:val="28"/>
          <w:szCs w:val="28"/>
        </w:rPr>
        <w:t>содержат</w:t>
      </w:r>
      <w:r w:rsidR="00E458C7" w:rsidRPr="00B46AF4">
        <w:rPr>
          <w:rFonts w:ascii="Times New Roman" w:hAnsi="Times New Roman" w:cs="Times New Roman"/>
          <w:sz w:val="28"/>
          <w:szCs w:val="28"/>
        </w:rPr>
        <w:t xml:space="preserve"> десятки записей о продаже соли, которые встречаются заметно чаще, чем сделки по другим товарам. Крайне проблематично и верифицировать полученные таким образом среднегодовые цены</w:t>
      </w:r>
      <w:r w:rsidR="00A77100" w:rsidRPr="00B46AF4">
        <w:rPr>
          <w:rFonts w:ascii="Times New Roman" w:hAnsi="Times New Roman" w:cs="Times New Roman"/>
          <w:sz w:val="28"/>
          <w:szCs w:val="28"/>
        </w:rPr>
        <w:t>: необходимо учесть вс</w:t>
      </w:r>
      <w:r w:rsidR="00385D4B">
        <w:rPr>
          <w:rFonts w:ascii="Times New Roman" w:hAnsi="Times New Roman" w:cs="Times New Roman"/>
          <w:sz w:val="28"/>
          <w:szCs w:val="28"/>
        </w:rPr>
        <w:t>е сделки, указанные в источниках</w:t>
      </w:r>
      <w:r w:rsidR="00E458C7" w:rsidRPr="00B46AF4">
        <w:rPr>
          <w:rFonts w:ascii="Times New Roman" w:hAnsi="Times New Roman" w:cs="Times New Roman"/>
          <w:sz w:val="28"/>
          <w:szCs w:val="28"/>
        </w:rPr>
        <w:t xml:space="preserve">. </w:t>
      </w:r>
      <w:r w:rsidR="00080D0D" w:rsidRPr="00B46AF4">
        <w:rPr>
          <w:rFonts w:ascii="Times New Roman" w:hAnsi="Times New Roman" w:cs="Times New Roman"/>
          <w:sz w:val="28"/>
          <w:szCs w:val="28"/>
        </w:rPr>
        <w:t xml:space="preserve">Можно было </w:t>
      </w:r>
      <w:r w:rsidR="00E36E86">
        <w:rPr>
          <w:rFonts w:ascii="Times New Roman" w:hAnsi="Times New Roman" w:cs="Times New Roman"/>
          <w:sz w:val="28"/>
          <w:szCs w:val="28"/>
        </w:rPr>
        <w:t xml:space="preserve">бы </w:t>
      </w:r>
      <w:r w:rsidR="00080D0D" w:rsidRPr="00B46AF4">
        <w:rPr>
          <w:rFonts w:ascii="Times New Roman" w:hAnsi="Times New Roman" w:cs="Times New Roman"/>
          <w:sz w:val="28"/>
          <w:szCs w:val="28"/>
        </w:rPr>
        <w:t>в качестве среднегодовых цен использовать средние цены за определенный месяц. Однако нет строгой закономерности изменения сезонных цен на соль: максимальные и минимальные цены</w:t>
      </w:r>
      <w:r w:rsidR="00A77100" w:rsidRPr="00B46AF4">
        <w:rPr>
          <w:rFonts w:ascii="Times New Roman" w:hAnsi="Times New Roman" w:cs="Times New Roman"/>
          <w:sz w:val="28"/>
          <w:szCs w:val="28"/>
        </w:rPr>
        <w:t xml:space="preserve"> и</w:t>
      </w:r>
      <w:r w:rsidR="00080D0D" w:rsidRPr="00B46AF4">
        <w:rPr>
          <w:rFonts w:ascii="Times New Roman" w:hAnsi="Times New Roman" w:cs="Times New Roman"/>
          <w:sz w:val="28"/>
          <w:szCs w:val="28"/>
        </w:rPr>
        <w:t xml:space="preserve"> объемы сделок приходятся </w:t>
      </w:r>
      <w:proofErr w:type="gramStart"/>
      <w:r w:rsidR="00080D0D" w:rsidRPr="00B46A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80D0D" w:rsidRPr="00B46AF4">
        <w:rPr>
          <w:rFonts w:ascii="Times New Roman" w:hAnsi="Times New Roman" w:cs="Times New Roman"/>
          <w:sz w:val="28"/>
          <w:szCs w:val="28"/>
        </w:rPr>
        <w:t xml:space="preserve"> разные месяца. </w:t>
      </w:r>
      <w:r w:rsidR="00B232B3" w:rsidRPr="00B46AF4">
        <w:rPr>
          <w:rFonts w:ascii="Times New Roman" w:hAnsi="Times New Roman" w:cs="Times New Roman"/>
          <w:sz w:val="28"/>
          <w:szCs w:val="28"/>
        </w:rPr>
        <w:t xml:space="preserve">Полученные таким образом уровни временных рядов будут не сопоставимы. </w:t>
      </w:r>
      <w:r w:rsidR="00A77100" w:rsidRPr="00B46AF4">
        <w:rPr>
          <w:rFonts w:ascii="Times New Roman" w:hAnsi="Times New Roman" w:cs="Times New Roman"/>
          <w:sz w:val="28"/>
          <w:szCs w:val="28"/>
        </w:rPr>
        <w:t xml:space="preserve">Представляется целесообразным </w:t>
      </w:r>
      <w:r w:rsidR="00922218" w:rsidRPr="00B46AF4">
        <w:rPr>
          <w:rFonts w:ascii="Times New Roman" w:hAnsi="Times New Roman" w:cs="Times New Roman"/>
          <w:sz w:val="28"/>
          <w:szCs w:val="28"/>
        </w:rPr>
        <w:t>в качестве ср</w:t>
      </w:r>
      <w:r w:rsidR="00CC0CC4" w:rsidRPr="00B46AF4">
        <w:rPr>
          <w:rFonts w:ascii="Times New Roman" w:hAnsi="Times New Roman" w:cs="Times New Roman"/>
          <w:sz w:val="28"/>
          <w:szCs w:val="28"/>
        </w:rPr>
        <w:t xml:space="preserve">еднегодовой </w:t>
      </w:r>
      <w:r w:rsidR="00CC0CC4" w:rsidRPr="00B46AF4">
        <w:rPr>
          <w:rFonts w:ascii="Times New Roman" w:hAnsi="Times New Roman" w:cs="Times New Roman"/>
          <w:sz w:val="28"/>
          <w:szCs w:val="28"/>
        </w:rPr>
        <w:lastRenderedPageBreak/>
        <w:t xml:space="preserve">цены использовать цену самой крупной сделки. </w:t>
      </w:r>
      <w:r w:rsidR="00A77100" w:rsidRPr="00B46AF4">
        <w:rPr>
          <w:rFonts w:ascii="Times New Roman" w:hAnsi="Times New Roman" w:cs="Times New Roman"/>
          <w:sz w:val="28"/>
          <w:szCs w:val="28"/>
        </w:rPr>
        <w:t>Полученны</w:t>
      </w:r>
      <w:r w:rsidR="00094E49">
        <w:rPr>
          <w:rFonts w:ascii="Times New Roman" w:hAnsi="Times New Roman" w:cs="Times New Roman"/>
          <w:sz w:val="28"/>
          <w:szCs w:val="28"/>
        </w:rPr>
        <w:t>е таким способом цены вполне не</w:t>
      </w:r>
      <w:r w:rsidR="00A77100" w:rsidRPr="00B46AF4">
        <w:rPr>
          <w:rFonts w:ascii="Times New Roman" w:hAnsi="Times New Roman" w:cs="Times New Roman"/>
          <w:sz w:val="28"/>
          <w:szCs w:val="28"/>
        </w:rPr>
        <w:t xml:space="preserve">сложно перепроверить другим исследователям, обратившимся к </w:t>
      </w:r>
      <w:r w:rsidR="00FF687B" w:rsidRPr="00B46AF4">
        <w:rPr>
          <w:rFonts w:ascii="Times New Roman" w:hAnsi="Times New Roman" w:cs="Times New Roman"/>
          <w:sz w:val="28"/>
          <w:szCs w:val="28"/>
        </w:rPr>
        <w:t>анализируемым</w:t>
      </w:r>
      <w:r w:rsidR="00A77100" w:rsidRPr="00B46AF4">
        <w:rPr>
          <w:rFonts w:ascii="Times New Roman" w:hAnsi="Times New Roman" w:cs="Times New Roman"/>
          <w:sz w:val="28"/>
          <w:szCs w:val="28"/>
        </w:rPr>
        <w:t xml:space="preserve"> нами источникам</w:t>
      </w:r>
      <w:r w:rsidR="00CE4E13" w:rsidRPr="00B46AF4">
        <w:rPr>
          <w:rFonts w:ascii="Times New Roman" w:hAnsi="Times New Roman" w:cs="Times New Roman"/>
          <w:sz w:val="28"/>
          <w:szCs w:val="28"/>
        </w:rPr>
        <w:t>. Так или иначе, сезонные колебания цен на соль не столь значительны, как правило, составляют не более 2 коп</w:t>
      </w:r>
      <w:proofErr w:type="gramStart"/>
      <w:r w:rsidR="00CE4E13" w:rsidRPr="00B46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4E13" w:rsidRPr="00B46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E13" w:rsidRPr="00B46AF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E4E13" w:rsidRPr="00B46AF4">
        <w:rPr>
          <w:rFonts w:ascii="Times New Roman" w:hAnsi="Times New Roman" w:cs="Times New Roman"/>
          <w:sz w:val="28"/>
          <w:szCs w:val="28"/>
        </w:rPr>
        <w:t>а пуд. Поэтому в нашем случае в</w:t>
      </w:r>
      <w:r w:rsidR="00E458C7" w:rsidRPr="00B46AF4">
        <w:rPr>
          <w:rFonts w:ascii="Times New Roman" w:hAnsi="Times New Roman" w:cs="Times New Roman"/>
          <w:sz w:val="28"/>
          <w:szCs w:val="28"/>
        </w:rPr>
        <w:t xml:space="preserve">ыбор способа расчета </w:t>
      </w:r>
      <w:r w:rsidR="00CE4E13" w:rsidRPr="00B46AF4">
        <w:rPr>
          <w:rFonts w:ascii="Times New Roman" w:hAnsi="Times New Roman" w:cs="Times New Roman"/>
          <w:sz w:val="28"/>
          <w:szCs w:val="28"/>
        </w:rPr>
        <w:t xml:space="preserve">среднегодовой цены </w:t>
      </w:r>
      <w:r w:rsidR="00E458C7" w:rsidRPr="00B46AF4">
        <w:rPr>
          <w:rFonts w:ascii="Times New Roman" w:hAnsi="Times New Roman" w:cs="Times New Roman"/>
          <w:sz w:val="28"/>
          <w:szCs w:val="28"/>
        </w:rPr>
        <w:t>не столь</w:t>
      </w:r>
      <w:r w:rsidR="00CE4E13" w:rsidRPr="00B46AF4">
        <w:rPr>
          <w:rFonts w:ascii="Times New Roman" w:hAnsi="Times New Roman" w:cs="Times New Roman"/>
          <w:sz w:val="28"/>
          <w:szCs w:val="28"/>
        </w:rPr>
        <w:t xml:space="preserve"> принципиален, важ</w:t>
      </w:r>
      <w:r w:rsidR="00E458C7" w:rsidRPr="00B46AF4">
        <w:rPr>
          <w:rFonts w:ascii="Times New Roman" w:hAnsi="Times New Roman" w:cs="Times New Roman"/>
          <w:sz w:val="28"/>
          <w:szCs w:val="28"/>
        </w:rPr>
        <w:t>н</w:t>
      </w:r>
      <w:r w:rsidR="00CE4E13" w:rsidRPr="00B46AF4">
        <w:rPr>
          <w:rFonts w:ascii="Times New Roman" w:hAnsi="Times New Roman" w:cs="Times New Roman"/>
          <w:sz w:val="28"/>
          <w:szCs w:val="28"/>
        </w:rPr>
        <w:t>о</w:t>
      </w:r>
      <w:r w:rsidR="00E458C7" w:rsidRPr="00B46AF4">
        <w:rPr>
          <w:rFonts w:ascii="Times New Roman" w:hAnsi="Times New Roman" w:cs="Times New Roman"/>
          <w:sz w:val="28"/>
          <w:szCs w:val="28"/>
        </w:rPr>
        <w:t xml:space="preserve"> его придерживаться</w:t>
      </w:r>
      <w:r w:rsidR="00CE4E13" w:rsidRPr="00B46AF4">
        <w:rPr>
          <w:rFonts w:ascii="Times New Roman" w:hAnsi="Times New Roman" w:cs="Times New Roman"/>
          <w:sz w:val="28"/>
          <w:szCs w:val="28"/>
        </w:rPr>
        <w:t xml:space="preserve"> при построении временных рядов, в том числе и рядов цен на другие товары.</w:t>
      </w:r>
    </w:p>
    <w:p w:rsidR="00D257AD" w:rsidRPr="00B46AF4" w:rsidRDefault="00D257AD" w:rsidP="00B4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F4">
        <w:rPr>
          <w:rFonts w:ascii="Times New Roman" w:hAnsi="Times New Roman" w:cs="Times New Roman"/>
          <w:sz w:val="28"/>
          <w:szCs w:val="28"/>
        </w:rPr>
        <w:t>Во-вторых</w:t>
      </w:r>
      <w:r w:rsidR="002E50A0" w:rsidRPr="00B46AF4">
        <w:rPr>
          <w:rFonts w:ascii="Times New Roman" w:hAnsi="Times New Roman" w:cs="Times New Roman"/>
          <w:sz w:val="28"/>
          <w:szCs w:val="28"/>
        </w:rPr>
        <w:t xml:space="preserve">, это проблема </w:t>
      </w:r>
      <w:r w:rsidR="00DE5B15" w:rsidRPr="00B46AF4">
        <w:rPr>
          <w:rFonts w:ascii="Times New Roman" w:hAnsi="Times New Roman" w:cs="Times New Roman"/>
          <w:sz w:val="28"/>
          <w:szCs w:val="28"/>
        </w:rPr>
        <w:t>определения границ экономических районов</w:t>
      </w:r>
      <w:r w:rsidR="002E50A0" w:rsidRPr="00B46AF4">
        <w:rPr>
          <w:rFonts w:ascii="Times New Roman" w:hAnsi="Times New Roman" w:cs="Times New Roman"/>
          <w:sz w:val="28"/>
          <w:szCs w:val="28"/>
        </w:rPr>
        <w:t xml:space="preserve">. </w:t>
      </w:r>
      <w:r w:rsidR="008860AB" w:rsidRPr="00B46AF4">
        <w:rPr>
          <w:rFonts w:ascii="Times New Roman" w:hAnsi="Times New Roman" w:cs="Times New Roman"/>
          <w:sz w:val="28"/>
          <w:szCs w:val="28"/>
        </w:rPr>
        <w:t xml:space="preserve">Необходимо учитывать, что в приходно-расходных книгах Соловецкого и Кирилло-Белозерского монастыря </w:t>
      </w:r>
      <w:r w:rsidR="00BF3A95" w:rsidRPr="00B46AF4">
        <w:rPr>
          <w:rFonts w:ascii="Times New Roman" w:hAnsi="Times New Roman" w:cs="Times New Roman"/>
          <w:sz w:val="28"/>
          <w:szCs w:val="28"/>
        </w:rPr>
        <w:t xml:space="preserve">отражены цены </w:t>
      </w:r>
      <w:r w:rsidR="00DE5B15" w:rsidRPr="00B46AF4">
        <w:rPr>
          <w:rFonts w:ascii="Times New Roman" w:hAnsi="Times New Roman" w:cs="Times New Roman"/>
          <w:sz w:val="28"/>
          <w:szCs w:val="28"/>
        </w:rPr>
        <w:t xml:space="preserve">двух экономических районов: Северного и Центрально-Нечерноземного. </w:t>
      </w:r>
      <w:r w:rsidR="003868B6" w:rsidRPr="00B46AF4">
        <w:rPr>
          <w:rFonts w:ascii="Times New Roman" w:hAnsi="Times New Roman" w:cs="Times New Roman"/>
          <w:sz w:val="28"/>
          <w:szCs w:val="28"/>
        </w:rPr>
        <w:t xml:space="preserve">Б.Н. Миронов справедливо отнес </w:t>
      </w:r>
      <w:r w:rsidR="00841CF4" w:rsidRPr="00B46AF4">
        <w:rPr>
          <w:rFonts w:ascii="Times New Roman" w:hAnsi="Times New Roman" w:cs="Times New Roman"/>
          <w:sz w:val="28"/>
          <w:szCs w:val="28"/>
        </w:rPr>
        <w:t>Вологодчину к Цен</w:t>
      </w:r>
      <w:r w:rsidR="00BF3A95" w:rsidRPr="00B46AF4">
        <w:rPr>
          <w:rFonts w:ascii="Times New Roman" w:hAnsi="Times New Roman" w:cs="Times New Roman"/>
          <w:sz w:val="28"/>
          <w:szCs w:val="28"/>
        </w:rPr>
        <w:t>трально-Нечерноземному регио</w:t>
      </w:r>
      <w:r w:rsidR="00385D4B">
        <w:rPr>
          <w:rFonts w:ascii="Times New Roman" w:hAnsi="Times New Roman" w:cs="Times New Roman"/>
          <w:sz w:val="28"/>
          <w:szCs w:val="28"/>
        </w:rPr>
        <w:t>ну</w:t>
      </w:r>
      <w:r w:rsidR="00BF3A95" w:rsidRPr="00B46A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3A95" w:rsidRPr="00B46AF4">
        <w:rPr>
          <w:rFonts w:ascii="Times New Roman" w:hAnsi="Times New Roman" w:cs="Times New Roman"/>
          <w:sz w:val="28"/>
          <w:szCs w:val="28"/>
        </w:rPr>
        <w:t>К примеру, в 1650 г. цена соли за пуд в Вологде составляла 12,5 коп., а в Холмогорах – 8 коп</w:t>
      </w:r>
      <w:r w:rsidR="00586C7E">
        <w:rPr>
          <w:rFonts w:ascii="Times New Roman" w:hAnsi="Times New Roman" w:cs="Times New Roman"/>
          <w:sz w:val="28"/>
          <w:szCs w:val="28"/>
        </w:rPr>
        <w:t>.</w:t>
      </w:r>
      <w:r w:rsidR="00586C7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BF3A95" w:rsidRPr="00B46AF4">
        <w:rPr>
          <w:rFonts w:ascii="Times New Roman" w:hAnsi="Times New Roman" w:cs="Times New Roman"/>
          <w:sz w:val="28"/>
          <w:szCs w:val="28"/>
        </w:rPr>
        <w:t>; в 1668 г. соль в Вологде стоила 17 коп., а в Холмогорах – 7 коп.</w:t>
      </w:r>
      <w:r w:rsidR="00586C7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BF3A95" w:rsidRPr="00B46AF4">
        <w:rPr>
          <w:rFonts w:ascii="Times New Roman" w:hAnsi="Times New Roman" w:cs="Times New Roman"/>
          <w:sz w:val="28"/>
          <w:szCs w:val="28"/>
        </w:rPr>
        <w:t>; в 1672 г. в Вологде цена составляла 11 коп., а в Каргополе – 7,5 коп</w:t>
      </w:r>
      <w:r w:rsidR="00586C7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BF3A95" w:rsidRPr="00B46AF4">
        <w:rPr>
          <w:rFonts w:ascii="Times New Roman" w:hAnsi="Times New Roman" w:cs="Times New Roman"/>
          <w:sz w:val="28"/>
          <w:szCs w:val="28"/>
        </w:rPr>
        <w:t>. Поэтому в</w:t>
      </w:r>
      <w:r w:rsidR="00841CF4" w:rsidRPr="00B46AF4">
        <w:rPr>
          <w:rFonts w:ascii="Times New Roman" w:hAnsi="Times New Roman" w:cs="Times New Roman"/>
          <w:sz w:val="28"/>
          <w:szCs w:val="28"/>
        </w:rPr>
        <w:t xml:space="preserve"> представленном исследовании</w:t>
      </w:r>
      <w:proofErr w:type="gramEnd"/>
      <w:r w:rsidR="00841CF4" w:rsidRPr="00B46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A95" w:rsidRPr="00B46AF4">
        <w:rPr>
          <w:rFonts w:ascii="Times New Roman" w:hAnsi="Times New Roman" w:cs="Times New Roman"/>
          <w:sz w:val="28"/>
          <w:szCs w:val="28"/>
        </w:rPr>
        <w:t xml:space="preserve">по документам упомянутых монастырей </w:t>
      </w:r>
      <w:r w:rsidR="00841CF4" w:rsidRPr="00B46AF4">
        <w:rPr>
          <w:rFonts w:ascii="Times New Roman" w:hAnsi="Times New Roman" w:cs="Times New Roman"/>
          <w:sz w:val="28"/>
          <w:szCs w:val="28"/>
        </w:rPr>
        <w:t>реконструируются ряды цен в Вологде</w:t>
      </w:r>
      <w:proofErr w:type="gramEnd"/>
      <w:r w:rsidR="00841CF4" w:rsidRPr="00B46AF4">
        <w:rPr>
          <w:rFonts w:ascii="Times New Roman" w:hAnsi="Times New Roman" w:cs="Times New Roman"/>
          <w:sz w:val="28"/>
          <w:szCs w:val="28"/>
        </w:rPr>
        <w:t xml:space="preserve"> и ближайших </w:t>
      </w:r>
      <w:proofErr w:type="gramStart"/>
      <w:r w:rsidR="00BF3A95" w:rsidRPr="00B46AF4">
        <w:rPr>
          <w:rFonts w:ascii="Times New Roman" w:hAnsi="Times New Roman" w:cs="Times New Roman"/>
          <w:sz w:val="28"/>
          <w:szCs w:val="28"/>
        </w:rPr>
        <w:t>городах</w:t>
      </w:r>
      <w:proofErr w:type="gramEnd"/>
      <w:r w:rsidR="00BF3A95" w:rsidRPr="00B46AF4">
        <w:rPr>
          <w:rFonts w:ascii="Times New Roman" w:hAnsi="Times New Roman" w:cs="Times New Roman"/>
          <w:sz w:val="28"/>
          <w:szCs w:val="28"/>
        </w:rPr>
        <w:t>, сознательно не включается</w:t>
      </w:r>
      <w:r w:rsidR="00841CF4" w:rsidRPr="00B46AF4">
        <w:rPr>
          <w:rFonts w:ascii="Times New Roman" w:hAnsi="Times New Roman" w:cs="Times New Roman"/>
          <w:sz w:val="28"/>
          <w:szCs w:val="28"/>
        </w:rPr>
        <w:t xml:space="preserve"> в </w:t>
      </w:r>
      <w:r w:rsidR="00BF3A95" w:rsidRPr="00B46AF4">
        <w:rPr>
          <w:rFonts w:ascii="Times New Roman" w:hAnsi="Times New Roman" w:cs="Times New Roman"/>
          <w:sz w:val="28"/>
          <w:szCs w:val="28"/>
        </w:rPr>
        <w:t xml:space="preserve">эти </w:t>
      </w:r>
      <w:r w:rsidR="00841CF4" w:rsidRPr="00B46AF4">
        <w:rPr>
          <w:rFonts w:ascii="Times New Roman" w:hAnsi="Times New Roman" w:cs="Times New Roman"/>
          <w:sz w:val="28"/>
          <w:szCs w:val="28"/>
        </w:rPr>
        <w:t>ряд</w:t>
      </w:r>
      <w:r w:rsidR="00BF3A95" w:rsidRPr="00B46AF4">
        <w:rPr>
          <w:rFonts w:ascii="Times New Roman" w:hAnsi="Times New Roman" w:cs="Times New Roman"/>
          <w:sz w:val="28"/>
          <w:szCs w:val="28"/>
        </w:rPr>
        <w:t>ы</w:t>
      </w:r>
      <w:r w:rsidR="00FF687B" w:rsidRPr="00B46AF4">
        <w:rPr>
          <w:rFonts w:ascii="Times New Roman" w:hAnsi="Times New Roman" w:cs="Times New Roman"/>
          <w:sz w:val="28"/>
          <w:szCs w:val="28"/>
        </w:rPr>
        <w:t xml:space="preserve"> цены других центров торговли Русского Севера</w:t>
      </w:r>
      <w:r w:rsidR="00841CF4" w:rsidRPr="00B46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0AB" w:rsidRPr="00B46AF4" w:rsidRDefault="008860AB" w:rsidP="00B4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F4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FF687B" w:rsidRPr="00B46AF4">
        <w:rPr>
          <w:rFonts w:ascii="Times New Roman" w:hAnsi="Times New Roman" w:cs="Times New Roman"/>
          <w:sz w:val="28"/>
          <w:szCs w:val="28"/>
        </w:rPr>
        <w:t xml:space="preserve">это проблема </w:t>
      </w:r>
      <w:r w:rsidRPr="00B46AF4">
        <w:rPr>
          <w:rFonts w:ascii="Times New Roman" w:hAnsi="Times New Roman" w:cs="Times New Roman"/>
          <w:sz w:val="28"/>
          <w:szCs w:val="28"/>
        </w:rPr>
        <w:t>смыкания рядов</w:t>
      </w:r>
      <w:r w:rsidR="00A81149" w:rsidRPr="00B46AF4">
        <w:rPr>
          <w:rFonts w:ascii="Times New Roman" w:hAnsi="Times New Roman" w:cs="Times New Roman"/>
          <w:sz w:val="28"/>
          <w:szCs w:val="28"/>
        </w:rPr>
        <w:t xml:space="preserve"> цен. </w:t>
      </w:r>
      <w:r w:rsidR="00FF687B" w:rsidRPr="00B46AF4">
        <w:rPr>
          <w:rFonts w:ascii="Times New Roman" w:hAnsi="Times New Roman" w:cs="Times New Roman"/>
          <w:sz w:val="28"/>
          <w:szCs w:val="28"/>
        </w:rPr>
        <w:t>Не</w:t>
      </w:r>
      <w:r w:rsidR="00A81149" w:rsidRPr="00B46AF4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017924" w:rsidRPr="00B46AF4">
        <w:rPr>
          <w:rFonts w:ascii="Times New Roman" w:hAnsi="Times New Roman" w:cs="Times New Roman"/>
          <w:sz w:val="28"/>
          <w:szCs w:val="28"/>
        </w:rPr>
        <w:t>исследователи,</w:t>
      </w:r>
      <w:r w:rsidR="00163CF2" w:rsidRPr="00B46AF4">
        <w:rPr>
          <w:rFonts w:ascii="Times New Roman" w:hAnsi="Times New Roman" w:cs="Times New Roman"/>
          <w:sz w:val="28"/>
          <w:szCs w:val="28"/>
        </w:rPr>
        <w:t xml:space="preserve"> выявляя цены</w:t>
      </w:r>
      <w:r w:rsidR="00FF687B" w:rsidRPr="00B46AF4">
        <w:rPr>
          <w:rFonts w:ascii="Times New Roman" w:hAnsi="Times New Roman" w:cs="Times New Roman"/>
          <w:sz w:val="28"/>
          <w:szCs w:val="28"/>
        </w:rPr>
        <w:t xml:space="preserve"> в</w:t>
      </w:r>
      <w:r w:rsidR="00017924" w:rsidRPr="00B46AF4">
        <w:rPr>
          <w:rFonts w:ascii="Times New Roman" w:hAnsi="Times New Roman" w:cs="Times New Roman"/>
          <w:sz w:val="28"/>
          <w:szCs w:val="28"/>
        </w:rPr>
        <w:t xml:space="preserve"> допетровской России</w:t>
      </w:r>
      <w:r w:rsidR="00FF687B" w:rsidRPr="00B46AF4">
        <w:rPr>
          <w:rFonts w:ascii="Times New Roman" w:hAnsi="Times New Roman" w:cs="Times New Roman"/>
          <w:sz w:val="28"/>
          <w:szCs w:val="28"/>
        </w:rPr>
        <w:t>, выражали их</w:t>
      </w:r>
      <w:r w:rsidR="00017924" w:rsidRPr="00B46AF4">
        <w:rPr>
          <w:rFonts w:ascii="Times New Roman" w:hAnsi="Times New Roman" w:cs="Times New Roman"/>
          <w:sz w:val="28"/>
          <w:szCs w:val="28"/>
        </w:rPr>
        <w:t xml:space="preserve"> в те</w:t>
      </w:r>
      <w:r w:rsidR="00FF687B" w:rsidRPr="00B46AF4">
        <w:rPr>
          <w:rFonts w:ascii="Times New Roman" w:hAnsi="Times New Roman" w:cs="Times New Roman"/>
          <w:sz w:val="28"/>
          <w:szCs w:val="28"/>
        </w:rPr>
        <w:t xml:space="preserve">х денежных единицах и </w:t>
      </w:r>
      <w:r w:rsidR="00017924" w:rsidRPr="00B46AF4">
        <w:rPr>
          <w:rFonts w:ascii="Times New Roman" w:hAnsi="Times New Roman" w:cs="Times New Roman"/>
          <w:sz w:val="28"/>
          <w:szCs w:val="28"/>
        </w:rPr>
        <w:t>мерах</w:t>
      </w:r>
      <w:r w:rsidR="00FF687B" w:rsidRPr="00B46AF4">
        <w:rPr>
          <w:rFonts w:ascii="Times New Roman" w:hAnsi="Times New Roman" w:cs="Times New Roman"/>
          <w:sz w:val="28"/>
          <w:szCs w:val="28"/>
        </w:rPr>
        <w:t>,</w:t>
      </w:r>
      <w:r w:rsidR="00017924" w:rsidRPr="00B46AF4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FF687B" w:rsidRPr="00B46AF4">
        <w:rPr>
          <w:rFonts w:ascii="Times New Roman" w:hAnsi="Times New Roman" w:cs="Times New Roman"/>
          <w:sz w:val="28"/>
          <w:szCs w:val="28"/>
        </w:rPr>
        <w:t>в источниках</w:t>
      </w:r>
      <w:r w:rsidR="009A01CB" w:rsidRPr="00B46AF4">
        <w:rPr>
          <w:rFonts w:ascii="Times New Roman" w:hAnsi="Times New Roman" w:cs="Times New Roman"/>
          <w:sz w:val="28"/>
          <w:szCs w:val="28"/>
        </w:rPr>
        <w:t>; а также о</w:t>
      </w:r>
      <w:bookmarkStart w:id="0" w:name="_GoBack"/>
      <w:bookmarkEnd w:id="0"/>
      <w:r w:rsidR="009A01CB" w:rsidRPr="00B46AF4">
        <w:rPr>
          <w:rFonts w:ascii="Times New Roman" w:hAnsi="Times New Roman" w:cs="Times New Roman"/>
          <w:sz w:val="28"/>
          <w:szCs w:val="28"/>
        </w:rPr>
        <w:t xml:space="preserve">писывали их динамику </w:t>
      </w:r>
      <w:r w:rsidR="003B76E9" w:rsidRPr="00B46AF4">
        <w:rPr>
          <w:rFonts w:ascii="Times New Roman" w:hAnsi="Times New Roman" w:cs="Times New Roman"/>
          <w:sz w:val="28"/>
          <w:szCs w:val="28"/>
        </w:rPr>
        <w:t xml:space="preserve">относительно дат сентябрьского стиля. </w:t>
      </w:r>
      <w:r w:rsidR="007932CF" w:rsidRPr="00B46AF4">
        <w:rPr>
          <w:rFonts w:ascii="Times New Roman" w:hAnsi="Times New Roman" w:cs="Times New Roman"/>
          <w:sz w:val="28"/>
          <w:szCs w:val="28"/>
        </w:rPr>
        <w:t>Для нас в</w:t>
      </w:r>
      <w:r w:rsidR="00017924" w:rsidRPr="00B46AF4">
        <w:rPr>
          <w:rFonts w:ascii="Times New Roman" w:hAnsi="Times New Roman" w:cs="Times New Roman"/>
          <w:sz w:val="28"/>
          <w:szCs w:val="28"/>
        </w:rPr>
        <w:t>ажно построить ряды</w:t>
      </w:r>
      <w:r w:rsidR="007932CF" w:rsidRPr="00B46AF4">
        <w:rPr>
          <w:rFonts w:ascii="Times New Roman" w:hAnsi="Times New Roman" w:cs="Times New Roman"/>
          <w:sz w:val="28"/>
          <w:szCs w:val="28"/>
        </w:rPr>
        <w:t>,</w:t>
      </w:r>
      <w:r w:rsidR="00017924" w:rsidRPr="00B46AF4">
        <w:rPr>
          <w:rFonts w:ascii="Times New Roman" w:hAnsi="Times New Roman" w:cs="Times New Roman"/>
          <w:sz w:val="28"/>
          <w:szCs w:val="28"/>
        </w:rPr>
        <w:t xml:space="preserve"> которые в перспективе можн</w:t>
      </w:r>
      <w:r w:rsidR="007932CF" w:rsidRPr="00B46AF4">
        <w:rPr>
          <w:rFonts w:ascii="Times New Roman" w:hAnsi="Times New Roman" w:cs="Times New Roman"/>
          <w:sz w:val="28"/>
          <w:szCs w:val="28"/>
        </w:rPr>
        <w:t xml:space="preserve">о будет сомкнуть с рядами цен </w:t>
      </w:r>
      <w:r w:rsidR="007932CF" w:rsidRPr="00B46AF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17924" w:rsidRPr="00B46AF4">
        <w:rPr>
          <w:rFonts w:ascii="Times New Roman" w:hAnsi="Times New Roman" w:cs="Times New Roman"/>
          <w:sz w:val="28"/>
          <w:szCs w:val="28"/>
        </w:rPr>
        <w:t xml:space="preserve"> века.</w:t>
      </w:r>
      <w:r w:rsidR="00B46AF4" w:rsidRPr="00B46AF4">
        <w:rPr>
          <w:rFonts w:ascii="Times New Roman" w:hAnsi="Times New Roman" w:cs="Times New Roman"/>
          <w:sz w:val="28"/>
          <w:szCs w:val="28"/>
        </w:rPr>
        <w:t xml:space="preserve"> В представленном исследовании</w:t>
      </w:r>
      <w:r w:rsidR="00017924" w:rsidRPr="00B46AF4">
        <w:rPr>
          <w:rFonts w:ascii="Times New Roman" w:hAnsi="Times New Roman" w:cs="Times New Roman"/>
          <w:sz w:val="28"/>
          <w:szCs w:val="28"/>
        </w:rPr>
        <w:t xml:space="preserve"> </w:t>
      </w:r>
      <w:r w:rsidR="00B46AF4" w:rsidRPr="00B46AF4">
        <w:rPr>
          <w:rFonts w:ascii="Times New Roman" w:hAnsi="Times New Roman" w:cs="Times New Roman"/>
          <w:sz w:val="28"/>
          <w:szCs w:val="28"/>
        </w:rPr>
        <w:t xml:space="preserve">цены выражались в копейках относительно пуда. </w:t>
      </w:r>
    </w:p>
    <w:p w:rsidR="00017924" w:rsidRDefault="00D814F9" w:rsidP="00B4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F4">
        <w:rPr>
          <w:rFonts w:ascii="Times New Roman" w:hAnsi="Times New Roman" w:cs="Times New Roman"/>
          <w:sz w:val="28"/>
          <w:szCs w:val="28"/>
        </w:rPr>
        <w:t xml:space="preserve">В </w:t>
      </w:r>
      <w:r w:rsidR="00B46AF4" w:rsidRPr="00B46AF4">
        <w:rPr>
          <w:rFonts w:ascii="Times New Roman" w:hAnsi="Times New Roman" w:cs="Times New Roman"/>
          <w:sz w:val="28"/>
          <w:szCs w:val="28"/>
        </w:rPr>
        <w:t>итоге</w:t>
      </w:r>
      <w:r w:rsidRPr="00B46AF4">
        <w:rPr>
          <w:rFonts w:ascii="Times New Roman" w:hAnsi="Times New Roman" w:cs="Times New Roman"/>
          <w:sz w:val="28"/>
          <w:szCs w:val="28"/>
        </w:rPr>
        <w:t xml:space="preserve"> нами были получены результаты, представленные в таблице 1 и на </w:t>
      </w:r>
      <w:r w:rsidR="00B46AF4" w:rsidRPr="00B46AF4">
        <w:rPr>
          <w:rFonts w:ascii="Times New Roman" w:hAnsi="Times New Roman" w:cs="Times New Roman"/>
          <w:sz w:val="28"/>
          <w:szCs w:val="28"/>
        </w:rPr>
        <w:t>рисунке 1.</w:t>
      </w:r>
      <w:r w:rsidRPr="00B4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6A4" w:rsidRDefault="008556A4" w:rsidP="00B4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6A4" w:rsidRPr="00B46AF4" w:rsidRDefault="008556A4" w:rsidP="008556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4E35CA" w:rsidRPr="00B46AF4" w:rsidRDefault="00B46AF4" w:rsidP="00B46A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AF4">
        <w:rPr>
          <w:rFonts w:ascii="Times New Roman" w:hAnsi="Times New Roman" w:cs="Times New Roman"/>
          <w:sz w:val="28"/>
          <w:szCs w:val="28"/>
        </w:rPr>
        <w:t>Цены на соль в 1644 – 1674 гг.,</w:t>
      </w:r>
    </w:p>
    <w:p w:rsidR="00B46AF4" w:rsidRPr="00B46AF4" w:rsidRDefault="00B46AF4" w:rsidP="00B46A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AF4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Pr="00B46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6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A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6AF4">
        <w:rPr>
          <w:rFonts w:ascii="Times New Roman" w:hAnsi="Times New Roman" w:cs="Times New Roman"/>
          <w:sz w:val="28"/>
          <w:szCs w:val="28"/>
        </w:rPr>
        <w:t xml:space="preserve">еребром </w:t>
      </w:r>
      <w:r w:rsidR="00E1109F">
        <w:rPr>
          <w:rFonts w:ascii="Times New Roman" w:hAnsi="Times New Roman" w:cs="Times New Roman"/>
          <w:sz w:val="28"/>
          <w:szCs w:val="28"/>
        </w:rPr>
        <w:t>за пуд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E35CA" w:rsidRPr="00B46AF4" w:rsidTr="004E35CA">
        <w:tc>
          <w:tcPr>
            <w:tcW w:w="1595" w:type="dxa"/>
          </w:tcPr>
          <w:p w:rsidR="004E35CA" w:rsidRPr="00B46AF4" w:rsidRDefault="004E35CA" w:rsidP="00B46A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E35CA" w:rsidRPr="00E434AB" w:rsidRDefault="008F7D67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4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E35CA" w:rsidRPr="00E434AB" w:rsidRDefault="008F7D67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4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E35CA" w:rsidRPr="00E434AB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E35CA" w:rsidRPr="00E434AB" w:rsidRDefault="008F7D67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4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4E35CA" w:rsidRPr="00E434AB" w:rsidRDefault="008F7D67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4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E35CA" w:rsidRPr="00B46AF4" w:rsidTr="005B1D69"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1644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1660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96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5CA" w:rsidRPr="00B46AF4" w:rsidTr="005B1D69"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1645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1661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96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5CA" w:rsidRPr="00B46AF4" w:rsidTr="005B1D69"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1646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1662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596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5CA" w:rsidRPr="00B46AF4" w:rsidTr="005B1D69"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1647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1663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96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5CA" w:rsidRPr="00B46AF4" w:rsidTr="005B1D69"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1648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1664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596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5CA" w:rsidRPr="00B46AF4" w:rsidTr="005B1D69"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1649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1665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96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5CA" w:rsidRPr="00B46AF4" w:rsidTr="005B1D69"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1666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96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4E35CA" w:rsidRPr="00B46AF4" w:rsidTr="005B1D69"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1651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1667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596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5CA" w:rsidRPr="00B46AF4" w:rsidTr="005B1D69"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1652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1668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96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5CA" w:rsidRPr="00B46AF4" w:rsidTr="005B1D69"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1653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1669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6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5CA" w:rsidRPr="00B46AF4" w:rsidTr="005B1D69"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1654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1670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5CA" w:rsidRPr="00B46AF4" w:rsidTr="005B1D69"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1655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1671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</w:tr>
      <w:tr w:rsidR="004E35CA" w:rsidRPr="00B46AF4" w:rsidTr="005B1D69"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1656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1672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96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5CA" w:rsidRPr="00B46AF4" w:rsidTr="005B1D69"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1657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1673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6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5CA" w:rsidRPr="00B46AF4" w:rsidTr="005B1D69"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1658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1674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6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5CA" w:rsidRPr="00B46AF4" w:rsidTr="005B1D69"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1659</w:t>
            </w: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bottom"/>
          </w:tcPr>
          <w:p w:rsidR="004E35CA" w:rsidRPr="00B46AF4" w:rsidRDefault="004E35CA" w:rsidP="00B46A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00E5" w:rsidRPr="00233B39" w:rsidRDefault="00E1109F" w:rsidP="00B4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39">
        <w:rPr>
          <w:rFonts w:ascii="Times New Roman" w:hAnsi="Times New Roman" w:cs="Times New Roman"/>
          <w:sz w:val="24"/>
          <w:szCs w:val="24"/>
        </w:rPr>
        <w:t xml:space="preserve">Составлено по: </w:t>
      </w:r>
      <w:r w:rsidR="00E400E5" w:rsidRPr="00233B39">
        <w:rPr>
          <w:rFonts w:ascii="Times New Roman" w:hAnsi="Times New Roman" w:cs="Times New Roman"/>
          <w:sz w:val="24"/>
          <w:szCs w:val="24"/>
        </w:rPr>
        <w:t>РГАДА Ф. 1201. Оп. 1. Д. 46, 49, 54, 56, 58, 63, 67, 519</w:t>
      </w:r>
      <w:r w:rsidRPr="00233B39">
        <w:rPr>
          <w:rFonts w:ascii="Times New Roman" w:hAnsi="Times New Roman" w:cs="Times New Roman"/>
          <w:sz w:val="24"/>
          <w:szCs w:val="24"/>
        </w:rPr>
        <w:t xml:space="preserve">; Ф. 1441. Оп.1. Д. 1433, 1441, 1455, 1460, 1464, 1470. </w:t>
      </w:r>
    </w:p>
    <w:p w:rsidR="00233B39" w:rsidRPr="00233B39" w:rsidRDefault="00233B39" w:rsidP="00B4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39">
        <w:rPr>
          <w:rFonts w:ascii="Times New Roman" w:hAnsi="Times New Roman" w:cs="Times New Roman"/>
          <w:sz w:val="24"/>
          <w:szCs w:val="24"/>
        </w:rPr>
        <w:t xml:space="preserve">1 – сведения из приходо-расходных книг Соловецкого монастыря, 2– сведения из приходо-расходных </w:t>
      </w:r>
      <w:r>
        <w:rPr>
          <w:rFonts w:ascii="Times New Roman" w:hAnsi="Times New Roman" w:cs="Times New Roman"/>
          <w:sz w:val="24"/>
          <w:szCs w:val="24"/>
        </w:rPr>
        <w:t xml:space="preserve">книг </w:t>
      </w:r>
      <w:r w:rsidRPr="00233B39">
        <w:rPr>
          <w:rFonts w:ascii="Times New Roman" w:hAnsi="Times New Roman" w:cs="Times New Roman"/>
          <w:sz w:val="24"/>
          <w:szCs w:val="24"/>
        </w:rPr>
        <w:t>Кирилло-Белозерского монастыря</w:t>
      </w:r>
    </w:p>
    <w:p w:rsidR="00233B39" w:rsidRPr="00B46AF4" w:rsidRDefault="00233B39" w:rsidP="00B4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4F9" w:rsidRDefault="00D814F9" w:rsidP="00B4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F4">
        <w:rPr>
          <w:rFonts w:ascii="Times New Roman" w:hAnsi="Times New Roman" w:cs="Times New Roman"/>
          <w:sz w:val="28"/>
          <w:szCs w:val="28"/>
        </w:rPr>
        <w:t xml:space="preserve">Учитывая тот факт, что </w:t>
      </w:r>
      <w:r w:rsidR="008556A4">
        <w:rPr>
          <w:rFonts w:ascii="Times New Roman" w:hAnsi="Times New Roman" w:cs="Times New Roman"/>
          <w:sz w:val="28"/>
          <w:szCs w:val="28"/>
        </w:rPr>
        <w:t xml:space="preserve">Вологодский рынок был одним из главных центров торговли солью, </w:t>
      </w:r>
      <w:r w:rsidRPr="00B46AF4">
        <w:rPr>
          <w:rFonts w:ascii="Times New Roman" w:hAnsi="Times New Roman" w:cs="Times New Roman"/>
          <w:sz w:val="28"/>
          <w:szCs w:val="28"/>
        </w:rPr>
        <w:t>мы можем сделать осторожные выводы о связи д</w:t>
      </w:r>
      <w:r w:rsidR="008556A4">
        <w:rPr>
          <w:rFonts w:ascii="Times New Roman" w:hAnsi="Times New Roman" w:cs="Times New Roman"/>
          <w:sz w:val="28"/>
          <w:szCs w:val="28"/>
        </w:rPr>
        <w:t>инамики цен на соль и социально-политических</w:t>
      </w:r>
      <w:r w:rsidRPr="00B46AF4">
        <w:rPr>
          <w:rFonts w:ascii="Times New Roman" w:hAnsi="Times New Roman" w:cs="Times New Roman"/>
          <w:sz w:val="28"/>
          <w:szCs w:val="28"/>
        </w:rPr>
        <w:t xml:space="preserve"> конфликтов второй трети столетия. Так мы </w:t>
      </w:r>
      <w:r w:rsidR="006F5F08" w:rsidRPr="00B46AF4">
        <w:rPr>
          <w:rFonts w:ascii="Times New Roman" w:hAnsi="Times New Roman" w:cs="Times New Roman"/>
          <w:sz w:val="28"/>
          <w:szCs w:val="28"/>
        </w:rPr>
        <w:t xml:space="preserve">видим, </w:t>
      </w:r>
      <w:r w:rsidR="00C343D6">
        <w:rPr>
          <w:rFonts w:ascii="Times New Roman" w:hAnsi="Times New Roman" w:cs="Times New Roman"/>
          <w:sz w:val="28"/>
          <w:szCs w:val="28"/>
        </w:rPr>
        <w:t xml:space="preserve">что цены в середине 1640-х гг. увеличились почти в </w:t>
      </w:r>
      <w:r w:rsidR="00C343D6">
        <w:rPr>
          <w:rFonts w:ascii="Times New Roman" w:hAnsi="Times New Roman" w:cs="Times New Roman"/>
          <w:sz w:val="28"/>
          <w:szCs w:val="28"/>
        </w:rPr>
        <w:lastRenderedPageBreak/>
        <w:t xml:space="preserve">три раза, однако после окончания Соляного бунта достаточно скоро опустились до прежнего уровня. </w:t>
      </w:r>
      <w:r w:rsidR="00E0173D">
        <w:rPr>
          <w:rFonts w:ascii="Times New Roman" w:hAnsi="Times New Roman" w:cs="Times New Roman"/>
          <w:sz w:val="28"/>
          <w:szCs w:val="28"/>
        </w:rPr>
        <w:t xml:space="preserve">Начало Русско-Польской и Русско-Шведской войны, по всей видимости, не оказали значительного влияния на движение цен на соль в регионе. Напротив, </w:t>
      </w:r>
      <w:r w:rsidR="00F26CE3">
        <w:rPr>
          <w:rFonts w:ascii="Times New Roman" w:hAnsi="Times New Roman" w:cs="Times New Roman"/>
          <w:sz w:val="28"/>
          <w:szCs w:val="28"/>
        </w:rPr>
        <w:t>денежная реформа Алексея Михайловича привела к резкому скачку цен, которые в 1663 году достигают максимум</w:t>
      </w:r>
      <w:r w:rsidR="00CD6DA6">
        <w:rPr>
          <w:rFonts w:ascii="Times New Roman" w:hAnsi="Times New Roman" w:cs="Times New Roman"/>
          <w:sz w:val="28"/>
          <w:szCs w:val="28"/>
        </w:rPr>
        <w:t>а в изучаемом периоде. Обратим внимание, что здесь не приходилось переводить медные деньги, уплаченные за соль, на серебряные деньги: в прих</w:t>
      </w:r>
      <w:r w:rsidR="00094E49">
        <w:rPr>
          <w:rFonts w:ascii="Times New Roman" w:hAnsi="Times New Roman" w:cs="Times New Roman"/>
          <w:sz w:val="28"/>
          <w:szCs w:val="28"/>
        </w:rPr>
        <w:t>одо-расходных книгах фиксировало</w:t>
      </w:r>
      <w:r w:rsidR="00CD6DA6">
        <w:rPr>
          <w:rFonts w:ascii="Times New Roman" w:hAnsi="Times New Roman" w:cs="Times New Roman"/>
          <w:sz w:val="28"/>
          <w:szCs w:val="28"/>
        </w:rPr>
        <w:t>сь то, какими деньгами совершались сделки. К примеру, цена за пуд в Вологде в 1662 году в серебряных деньгах составляла 58 коп</w:t>
      </w:r>
      <w:proofErr w:type="gramStart"/>
      <w:r w:rsidR="00CD6DA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D6DA6">
        <w:rPr>
          <w:rFonts w:ascii="Times New Roman" w:hAnsi="Times New Roman" w:cs="Times New Roman"/>
          <w:sz w:val="28"/>
          <w:szCs w:val="28"/>
        </w:rPr>
        <w:t>в медных деньгах – 108 коп</w:t>
      </w:r>
      <w:r w:rsidR="00CB23E5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CD6DA6">
        <w:rPr>
          <w:rFonts w:ascii="Times New Roman" w:hAnsi="Times New Roman" w:cs="Times New Roman"/>
          <w:sz w:val="28"/>
          <w:szCs w:val="28"/>
        </w:rPr>
        <w:t xml:space="preserve">. Уже в 1664 году цена за пуд опустилась до 10,5 коп. </w:t>
      </w:r>
      <w:r w:rsidR="00942FE6">
        <w:rPr>
          <w:rFonts w:ascii="Times New Roman" w:hAnsi="Times New Roman" w:cs="Times New Roman"/>
          <w:sz w:val="28"/>
          <w:szCs w:val="28"/>
        </w:rPr>
        <w:t>Позднее, по всей видимости, на некоторое повышение цен оказало влияние начало Соловецкого восстания.</w:t>
      </w:r>
    </w:p>
    <w:p w:rsidR="00586C7E" w:rsidRDefault="00586C7E" w:rsidP="00586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145FCC" wp14:editId="1EABFE63">
            <wp:extent cx="5993394" cy="2942376"/>
            <wp:effectExtent l="0" t="0" r="7620" b="0"/>
            <wp:docPr id="1" name="Рисунок 1" descr="C:\Users\art-s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-s\Desktop\Рис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830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C7E" w:rsidRPr="008556A4" w:rsidRDefault="00586C7E" w:rsidP="00586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6A4">
        <w:rPr>
          <w:rFonts w:ascii="Times New Roman" w:hAnsi="Times New Roman" w:cs="Times New Roman"/>
          <w:sz w:val="24"/>
          <w:szCs w:val="24"/>
        </w:rPr>
        <w:t>Рис. 1. Цены на соль в 1644 – 1674 гг., коп</w:t>
      </w:r>
      <w:proofErr w:type="gramStart"/>
      <w:r w:rsidRPr="00855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6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6A4">
        <w:rPr>
          <w:rFonts w:ascii="Times New Roman" w:hAnsi="Times New Roman" w:cs="Times New Roman"/>
          <w:sz w:val="24"/>
          <w:szCs w:val="24"/>
        </w:rPr>
        <w:t xml:space="preserve">еребром за пуд. </w:t>
      </w:r>
    </w:p>
    <w:p w:rsidR="00586C7E" w:rsidRPr="00233B39" w:rsidRDefault="00586C7E" w:rsidP="00586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39">
        <w:rPr>
          <w:rFonts w:ascii="Times New Roman" w:hAnsi="Times New Roman" w:cs="Times New Roman"/>
          <w:sz w:val="24"/>
          <w:szCs w:val="24"/>
        </w:rPr>
        <w:t xml:space="preserve">1 – сведения из приходо-расходных книг Соловецкого монастыря, 2– сведения из приходо-расходных </w:t>
      </w:r>
      <w:r>
        <w:rPr>
          <w:rFonts w:ascii="Times New Roman" w:hAnsi="Times New Roman" w:cs="Times New Roman"/>
          <w:sz w:val="24"/>
          <w:szCs w:val="24"/>
        </w:rPr>
        <w:t xml:space="preserve">книг </w:t>
      </w:r>
      <w:r w:rsidRPr="00233B39">
        <w:rPr>
          <w:rFonts w:ascii="Times New Roman" w:hAnsi="Times New Roman" w:cs="Times New Roman"/>
          <w:sz w:val="24"/>
          <w:szCs w:val="24"/>
        </w:rPr>
        <w:t>Кирилло-Белозерского монастыря</w:t>
      </w:r>
    </w:p>
    <w:p w:rsidR="00586C7E" w:rsidRPr="00B46AF4" w:rsidRDefault="00586C7E" w:rsidP="00B4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6A4" w:rsidRDefault="003E3A89" w:rsidP="00B4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Разумеется, вопрос о факторах цен требует дальнейшего глубокого изучения.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нами ряды</w:t>
      </w:r>
      <w:r w:rsidR="00B8646E">
        <w:rPr>
          <w:rFonts w:ascii="Times New Roman" w:hAnsi="Times New Roman" w:cs="Times New Roman"/>
          <w:sz w:val="28"/>
          <w:szCs w:val="28"/>
        </w:rPr>
        <w:t xml:space="preserve"> показывают, что на динамику </w:t>
      </w:r>
      <w:r w:rsidR="00B8646E">
        <w:rPr>
          <w:rFonts w:ascii="Times New Roman" w:hAnsi="Times New Roman" w:cs="Times New Roman"/>
          <w:sz w:val="28"/>
          <w:szCs w:val="28"/>
        </w:rPr>
        <w:lastRenderedPageBreak/>
        <w:t>цен на соль в изучаемый период оказала наибольшее влияние денежная реформа Алексея Михайловича.</w:t>
      </w:r>
    </w:p>
    <w:sectPr w:rsidR="0085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ED" w:rsidRDefault="007739ED" w:rsidP="000041B4">
      <w:pPr>
        <w:spacing w:after="0" w:line="240" w:lineRule="auto"/>
      </w:pPr>
      <w:r>
        <w:separator/>
      </w:r>
    </w:p>
  </w:endnote>
  <w:endnote w:type="continuationSeparator" w:id="0">
    <w:p w:rsidR="007739ED" w:rsidRDefault="007739ED" w:rsidP="0000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ED" w:rsidRDefault="007739ED" w:rsidP="000041B4">
      <w:pPr>
        <w:spacing w:after="0" w:line="240" w:lineRule="auto"/>
      </w:pPr>
      <w:r>
        <w:separator/>
      </w:r>
    </w:p>
  </w:footnote>
  <w:footnote w:type="continuationSeparator" w:id="0">
    <w:p w:rsidR="007739ED" w:rsidRDefault="007739ED" w:rsidP="000041B4">
      <w:pPr>
        <w:spacing w:after="0" w:line="240" w:lineRule="auto"/>
      </w:pPr>
      <w:r>
        <w:continuationSeparator/>
      </w:r>
    </w:p>
  </w:footnote>
  <w:footnote w:id="1">
    <w:p w:rsidR="00586C7E" w:rsidRDefault="00586C7E">
      <w:pPr>
        <w:pStyle w:val="a3"/>
      </w:pPr>
      <w:r>
        <w:rPr>
          <w:rStyle w:val="a5"/>
        </w:rPr>
        <w:footnoteRef/>
      </w:r>
      <w:r w:rsidRPr="00233B39">
        <w:rPr>
          <w:rFonts w:ascii="Times New Roman" w:hAnsi="Times New Roman" w:cs="Times New Roman"/>
          <w:sz w:val="24"/>
          <w:szCs w:val="24"/>
        </w:rPr>
        <w:t>РГАДА Ф. 1201. Оп. 1. Д</w:t>
      </w:r>
      <w:r>
        <w:rPr>
          <w:rFonts w:ascii="Times New Roman" w:hAnsi="Times New Roman" w:cs="Times New Roman"/>
          <w:sz w:val="24"/>
          <w:szCs w:val="24"/>
        </w:rPr>
        <w:t xml:space="preserve">. 54; Ф. 1441. Оп. 1. Д. 1479 </w:t>
      </w:r>
    </w:p>
  </w:footnote>
  <w:footnote w:id="2">
    <w:p w:rsidR="00586C7E" w:rsidRDefault="00586C7E">
      <w:pPr>
        <w:pStyle w:val="a3"/>
      </w:pPr>
      <w:r>
        <w:rPr>
          <w:rStyle w:val="a5"/>
        </w:rPr>
        <w:footnoteRef/>
      </w:r>
      <w:r w:rsidRPr="00233B39">
        <w:rPr>
          <w:rFonts w:ascii="Times New Roman" w:hAnsi="Times New Roman" w:cs="Times New Roman"/>
          <w:sz w:val="24"/>
          <w:szCs w:val="24"/>
        </w:rPr>
        <w:t>РГАДА Ф. 1201. Оп. 1. Д</w:t>
      </w:r>
      <w:r>
        <w:rPr>
          <w:rFonts w:ascii="Times New Roman" w:hAnsi="Times New Roman" w:cs="Times New Roman"/>
          <w:sz w:val="24"/>
          <w:szCs w:val="24"/>
        </w:rPr>
        <w:t>. 63; Ф. 1441. Оп. 1. Д 1481</w:t>
      </w:r>
    </w:p>
  </w:footnote>
  <w:footnote w:id="3">
    <w:p w:rsidR="00586C7E" w:rsidRDefault="00586C7E">
      <w:pPr>
        <w:pStyle w:val="a3"/>
      </w:pPr>
      <w:r>
        <w:rPr>
          <w:rStyle w:val="a5"/>
        </w:rPr>
        <w:footnoteRef/>
      </w:r>
      <w:r w:rsidRPr="00233B39">
        <w:rPr>
          <w:rFonts w:ascii="Times New Roman" w:hAnsi="Times New Roman" w:cs="Times New Roman"/>
          <w:sz w:val="24"/>
          <w:szCs w:val="24"/>
        </w:rPr>
        <w:t>РГАДА Ф. 1201. Оп. 1. Д</w:t>
      </w:r>
      <w:r>
        <w:rPr>
          <w:rFonts w:ascii="Times New Roman" w:hAnsi="Times New Roman" w:cs="Times New Roman"/>
          <w:sz w:val="24"/>
          <w:szCs w:val="24"/>
        </w:rPr>
        <w:t>. 71, 519.</w:t>
      </w:r>
    </w:p>
  </w:footnote>
  <w:footnote w:id="4">
    <w:p w:rsidR="00CB23E5" w:rsidRDefault="00CB23E5">
      <w:pPr>
        <w:pStyle w:val="a3"/>
      </w:pPr>
      <w:r>
        <w:rPr>
          <w:rStyle w:val="a5"/>
        </w:rPr>
        <w:footnoteRef/>
      </w:r>
      <w:r w:rsidRPr="00233B39">
        <w:rPr>
          <w:rFonts w:ascii="Times New Roman" w:hAnsi="Times New Roman" w:cs="Times New Roman"/>
          <w:sz w:val="24"/>
          <w:szCs w:val="24"/>
        </w:rPr>
        <w:t>РГАДА Ф. 1201. Оп. 1. Д</w:t>
      </w:r>
      <w:r>
        <w:rPr>
          <w:rFonts w:ascii="Times New Roman" w:hAnsi="Times New Roman" w:cs="Times New Roman"/>
          <w:sz w:val="24"/>
          <w:szCs w:val="24"/>
        </w:rPr>
        <w:t>. 58.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8FB"/>
    <w:multiLevelType w:val="hybridMultilevel"/>
    <w:tmpl w:val="B7B4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D493E"/>
    <w:multiLevelType w:val="hybridMultilevel"/>
    <w:tmpl w:val="0220E500"/>
    <w:lvl w:ilvl="0" w:tplc="E416C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AB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C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AF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C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6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EE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6E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09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F901D70"/>
    <w:multiLevelType w:val="hybridMultilevel"/>
    <w:tmpl w:val="1DB04930"/>
    <w:lvl w:ilvl="0" w:tplc="12DE0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40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8D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C4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87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06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88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68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4B"/>
    <w:rsid w:val="000041B4"/>
    <w:rsid w:val="00017924"/>
    <w:rsid w:val="00072F83"/>
    <w:rsid w:val="00080D0D"/>
    <w:rsid w:val="00094E49"/>
    <w:rsid w:val="00096D55"/>
    <w:rsid w:val="000A4611"/>
    <w:rsid w:val="000C6612"/>
    <w:rsid w:val="00152B3C"/>
    <w:rsid w:val="00156EEB"/>
    <w:rsid w:val="00162356"/>
    <w:rsid w:val="00163CF2"/>
    <w:rsid w:val="001A7045"/>
    <w:rsid w:val="00233B39"/>
    <w:rsid w:val="00244466"/>
    <w:rsid w:val="00277374"/>
    <w:rsid w:val="00294401"/>
    <w:rsid w:val="002D4936"/>
    <w:rsid w:val="002E50A0"/>
    <w:rsid w:val="00310919"/>
    <w:rsid w:val="00314223"/>
    <w:rsid w:val="00346111"/>
    <w:rsid w:val="00361457"/>
    <w:rsid w:val="00385D4B"/>
    <w:rsid w:val="003868B6"/>
    <w:rsid w:val="003B76E9"/>
    <w:rsid w:val="003E3A89"/>
    <w:rsid w:val="003F015D"/>
    <w:rsid w:val="004001E5"/>
    <w:rsid w:val="00454338"/>
    <w:rsid w:val="00461D9E"/>
    <w:rsid w:val="00480A21"/>
    <w:rsid w:val="004B34B3"/>
    <w:rsid w:val="004E35CA"/>
    <w:rsid w:val="004E3DE7"/>
    <w:rsid w:val="005855A8"/>
    <w:rsid w:val="00586C7E"/>
    <w:rsid w:val="005A2F01"/>
    <w:rsid w:val="005B1685"/>
    <w:rsid w:val="005B17DF"/>
    <w:rsid w:val="005B1D69"/>
    <w:rsid w:val="005E6E50"/>
    <w:rsid w:val="0067792D"/>
    <w:rsid w:val="006A6978"/>
    <w:rsid w:val="006A7FB0"/>
    <w:rsid w:val="006F5F08"/>
    <w:rsid w:val="00743E43"/>
    <w:rsid w:val="0074772F"/>
    <w:rsid w:val="007739ED"/>
    <w:rsid w:val="00773DED"/>
    <w:rsid w:val="007932CF"/>
    <w:rsid w:val="007D2122"/>
    <w:rsid w:val="008250F9"/>
    <w:rsid w:val="00841CF4"/>
    <w:rsid w:val="00852869"/>
    <w:rsid w:val="008556A4"/>
    <w:rsid w:val="00874952"/>
    <w:rsid w:val="0087656C"/>
    <w:rsid w:val="008860AB"/>
    <w:rsid w:val="008900DD"/>
    <w:rsid w:val="00895768"/>
    <w:rsid w:val="008F7D67"/>
    <w:rsid w:val="00922218"/>
    <w:rsid w:val="00942FE6"/>
    <w:rsid w:val="009454E7"/>
    <w:rsid w:val="0095084F"/>
    <w:rsid w:val="00966B15"/>
    <w:rsid w:val="009A01CB"/>
    <w:rsid w:val="009B1044"/>
    <w:rsid w:val="009C0EA1"/>
    <w:rsid w:val="009D18D5"/>
    <w:rsid w:val="009F187E"/>
    <w:rsid w:val="009F2E4B"/>
    <w:rsid w:val="00A03390"/>
    <w:rsid w:val="00A4509B"/>
    <w:rsid w:val="00A45C77"/>
    <w:rsid w:val="00A77100"/>
    <w:rsid w:val="00A81149"/>
    <w:rsid w:val="00A83EA7"/>
    <w:rsid w:val="00AE1B70"/>
    <w:rsid w:val="00B00AE4"/>
    <w:rsid w:val="00B11640"/>
    <w:rsid w:val="00B232B3"/>
    <w:rsid w:val="00B46AF4"/>
    <w:rsid w:val="00B711E9"/>
    <w:rsid w:val="00B8646E"/>
    <w:rsid w:val="00BA7577"/>
    <w:rsid w:val="00BF3A95"/>
    <w:rsid w:val="00C16FBA"/>
    <w:rsid w:val="00C2735F"/>
    <w:rsid w:val="00C32219"/>
    <w:rsid w:val="00C343D6"/>
    <w:rsid w:val="00C40184"/>
    <w:rsid w:val="00C52037"/>
    <w:rsid w:val="00C97A51"/>
    <w:rsid w:val="00CB23E5"/>
    <w:rsid w:val="00CC0CC4"/>
    <w:rsid w:val="00CD6DA6"/>
    <w:rsid w:val="00CD7FEC"/>
    <w:rsid w:val="00CE4E13"/>
    <w:rsid w:val="00D257AD"/>
    <w:rsid w:val="00D814F9"/>
    <w:rsid w:val="00DE5B15"/>
    <w:rsid w:val="00DF5482"/>
    <w:rsid w:val="00E0173D"/>
    <w:rsid w:val="00E1109F"/>
    <w:rsid w:val="00E36E86"/>
    <w:rsid w:val="00E400E5"/>
    <w:rsid w:val="00E434AB"/>
    <w:rsid w:val="00E458C7"/>
    <w:rsid w:val="00EB130C"/>
    <w:rsid w:val="00ED2C19"/>
    <w:rsid w:val="00ED3C06"/>
    <w:rsid w:val="00EF1182"/>
    <w:rsid w:val="00F26CE3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41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41B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41B4"/>
    <w:rPr>
      <w:vertAlign w:val="superscript"/>
    </w:rPr>
  </w:style>
  <w:style w:type="character" w:styleId="a6">
    <w:name w:val="Hyperlink"/>
    <w:basedOn w:val="a0"/>
    <w:uiPriority w:val="99"/>
    <w:unhideWhenUsed/>
    <w:rsid w:val="009C0EA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6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4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41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41B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41B4"/>
    <w:rPr>
      <w:vertAlign w:val="superscript"/>
    </w:rPr>
  </w:style>
  <w:style w:type="character" w:styleId="a6">
    <w:name w:val="Hyperlink"/>
    <w:basedOn w:val="a0"/>
    <w:uiPriority w:val="99"/>
    <w:unhideWhenUsed/>
    <w:rsid w:val="009C0EA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6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87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939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042856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5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3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9915-8AA9-4820-953A-FAD84159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art-s</dc:creator>
  <cp:keywords/>
  <dc:description/>
  <cp:lastModifiedBy>art-s</cp:lastModifiedBy>
  <cp:revision>82</cp:revision>
  <dcterms:created xsi:type="dcterms:W3CDTF">2019-04-12T09:25:00Z</dcterms:created>
  <dcterms:modified xsi:type="dcterms:W3CDTF">2019-12-07T12:30:00Z</dcterms:modified>
</cp:coreProperties>
</file>