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EA35" w14:textId="13E1D851" w:rsidR="00B41E30" w:rsidRDefault="0002117E" w:rsidP="00D65DC9">
      <w:pPr>
        <w:pStyle w:val="Heading1"/>
        <w:numPr>
          <w:ilvl w:val="0"/>
          <w:numId w:val="0"/>
        </w:numPr>
      </w:pPr>
      <w:r>
        <w:t>деньги в петровской россии:</w:t>
      </w:r>
      <w:r>
        <w:br/>
        <w:t>производство, обращение, функции</w:t>
      </w:r>
    </w:p>
    <w:p w14:paraId="5663BB42" w14:textId="77777777" w:rsidR="00D65DC9" w:rsidRPr="00D65DC9" w:rsidRDefault="00D65DC9" w:rsidP="00D65DC9">
      <w:pPr>
        <w:ind w:firstLine="0"/>
        <w:jc w:val="center"/>
        <w:rPr>
          <w:i/>
          <w:lang w:val="ru-RU"/>
        </w:rPr>
      </w:pPr>
      <w:r>
        <w:rPr>
          <w:i/>
          <w:lang w:val="ru-RU"/>
        </w:rPr>
        <w:t>Ефимов Артём Владимирович, НИУ ВШЭ</w:t>
      </w:r>
      <w:r>
        <w:rPr>
          <w:i/>
          <w:lang w:val="ru-RU"/>
        </w:rPr>
        <w:br/>
      </w:r>
      <w:hyperlink r:id="rId7" w:history="1">
        <w:r w:rsidRPr="0030210B">
          <w:rPr>
            <w:rStyle w:val="Hyperlink"/>
            <w:i/>
          </w:rPr>
          <w:t>avefimov</w:t>
        </w:r>
        <w:r w:rsidRPr="0030210B">
          <w:rPr>
            <w:rStyle w:val="Hyperlink"/>
            <w:i/>
            <w:lang w:val="ru-RU"/>
          </w:rPr>
          <w:t>@</w:t>
        </w:r>
        <w:r w:rsidRPr="0030210B">
          <w:rPr>
            <w:rStyle w:val="Hyperlink"/>
            <w:i/>
          </w:rPr>
          <w:t>hse</w:t>
        </w:r>
        <w:r w:rsidRPr="0030210B">
          <w:rPr>
            <w:rStyle w:val="Hyperlink"/>
            <w:i/>
            <w:lang w:val="ru-RU"/>
          </w:rPr>
          <w:t>.</w:t>
        </w:r>
        <w:proofErr w:type="spellStart"/>
        <w:r w:rsidRPr="0030210B">
          <w:rPr>
            <w:rStyle w:val="Hyperlink"/>
            <w:i/>
          </w:rPr>
          <w:t>ru</w:t>
        </w:r>
        <w:proofErr w:type="spellEnd"/>
      </w:hyperlink>
    </w:p>
    <w:p w14:paraId="4B13C22B" w14:textId="77777777" w:rsidR="00D65DC9" w:rsidRDefault="00D65DC9" w:rsidP="00D65DC9">
      <w:pPr>
        <w:rPr>
          <w:lang w:val="ru-RU"/>
        </w:rPr>
      </w:pPr>
    </w:p>
    <w:p w14:paraId="500CDABD" w14:textId="77777777" w:rsidR="007A2C94" w:rsidRDefault="00780C11" w:rsidP="00D65DC9">
      <w:pPr>
        <w:rPr>
          <w:lang w:val="ru-RU"/>
        </w:rPr>
      </w:pPr>
      <w:r>
        <w:rPr>
          <w:lang w:val="ru-RU"/>
        </w:rPr>
        <w:t>Денежная реформа Петра </w:t>
      </w:r>
      <w:r>
        <w:t>I</w:t>
      </w:r>
      <w:r w:rsidRPr="00780C11">
        <w:rPr>
          <w:lang w:val="ru-RU"/>
        </w:rPr>
        <w:t xml:space="preserve"> </w:t>
      </w:r>
      <w:r w:rsidR="007A2C94">
        <w:rPr>
          <w:lang w:val="ru-RU"/>
        </w:rPr>
        <w:t>началась в августе 1698 г., сразу после возвращения царя из Великого посольства, и стала, таким образом, одним из первых его преобразований. Она заключалась в:</w:t>
      </w:r>
    </w:p>
    <w:p w14:paraId="18306CD0" w14:textId="77777777" w:rsidR="007A2C94" w:rsidRDefault="007A2C94" w:rsidP="007A2C94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понижении серебряного содержания рубля с 0,4 г до 0,28 г;</w:t>
      </w:r>
    </w:p>
    <w:p w14:paraId="14CB2D79" w14:textId="77777777" w:rsidR="007A2C94" w:rsidRDefault="007A2C94" w:rsidP="007A2C94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введении разменных медных денег, а также золотых денег;</w:t>
      </w:r>
    </w:p>
    <w:p w14:paraId="519C407D" w14:textId="77777777" w:rsidR="007A2C94" w:rsidRDefault="007A2C94" w:rsidP="007A2C94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введении сложной системы денежных номиналов: полушка (1/4 коп.), </w:t>
      </w:r>
      <w:proofErr w:type="spellStart"/>
      <w:r>
        <w:rPr>
          <w:lang w:val="ru-RU"/>
        </w:rPr>
        <w:t>денга</w:t>
      </w:r>
      <w:proofErr w:type="spellEnd"/>
      <w:r>
        <w:rPr>
          <w:lang w:val="ru-RU"/>
        </w:rPr>
        <w:t xml:space="preserve"> (1/2 коп.), копейка, алтын (3 коп.), гривна (10 коп.), полтина (50 коп.), рубль, два рубля;</w:t>
      </w:r>
    </w:p>
    <w:p w14:paraId="7262EAD3" w14:textId="77777777" w:rsidR="007A2C94" w:rsidRDefault="007A2C94" w:rsidP="007A2C94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переходе от ручной к машинной чеканке денег.</w:t>
      </w:r>
    </w:p>
    <w:p w14:paraId="57D7A4AD" w14:textId="77777777" w:rsidR="007A2C94" w:rsidRDefault="007A2C94" w:rsidP="007A2C94">
      <w:pPr>
        <w:rPr>
          <w:lang w:val="ru-RU"/>
        </w:rPr>
      </w:pPr>
      <w:r>
        <w:rPr>
          <w:lang w:val="ru-RU"/>
        </w:rPr>
        <w:t xml:space="preserve">Реформа была в основном завершена в 1704 г. Впоследствии на протяжении петровского царствования денежная система еще несколько раз корректировалась: так, в 1711 г. была введена пробировка мелких серебряных монет, а в 1718 г. — крупных. Все эти меры сопровождались частым переподчинением денежных дворов: до 1711 г. они находились в ведении приказа Большой казны, в 1711–1714 гг. — Сената, </w:t>
      </w:r>
      <w:r w:rsidR="005B4F16">
        <w:rPr>
          <w:lang w:val="ru-RU"/>
        </w:rPr>
        <w:t xml:space="preserve">в 1714–1718 гг. — вновь Большой казны, </w:t>
      </w:r>
      <w:r w:rsidR="00437B3D">
        <w:rPr>
          <w:lang w:val="ru-RU"/>
        </w:rPr>
        <w:t>в 1718–1720 гг. — Камер-коллегии, с 1720 г. — Берг-коллегии.</w:t>
      </w:r>
    </w:p>
    <w:p w14:paraId="06D55CCA" w14:textId="77777777" w:rsidR="00D65DC9" w:rsidRDefault="005B4F16" w:rsidP="00D65DC9">
      <w:pPr>
        <w:rPr>
          <w:lang w:val="ru-RU"/>
        </w:rPr>
      </w:pPr>
      <w:r>
        <w:rPr>
          <w:lang w:val="ru-RU"/>
        </w:rPr>
        <w:t xml:space="preserve">Реформа преследовала преимущественно фискальные цели — и в этом отношении была успешной: она обеспечила казну необходимыми средствами в критический период Северной войны (от «Нарвской </w:t>
      </w:r>
      <w:proofErr w:type="spellStart"/>
      <w:r>
        <w:rPr>
          <w:lang w:val="ru-RU"/>
        </w:rPr>
        <w:t>конфузии</w:t>
      </w:r>
      <w:proofErr w:type="spellEnd"/>
      <w:r>
        <w:rPr>
          <w:lang w:val="ru-RU"/>
        </w:rPr>
        <w:t xml:space="preserve">» 1700 г. до победы под Полтавой в 1709 г.). Вместе с тем, она </w:t>
      </w:r>
      <w:r w:rsidR="00780C11">
        <w:rPr>
          <w:lang w:val="ru-RU"/>
        </w:rPr>
        <w:t xml:space="preserve">имела далеко идущие последствия для русской экономики — в частности, привела к </w:t>
      </w:r>
      <w:r w:rsidR="007178F3">
        <w:rPr>
          <w:lang w:val="ru-RU"/>
        </w:rPr>
        <w:t xml:space="preserve">резкому падению обменного курса рубля и </w:t>
      </w:r>
      <w:r>
        <w:rPr>
          <w:lang w:val="ru-RU"/>
        </w:rPr>
        <w:t xml:space="preserve">к </w:t>
      </w:r>
      <w:r w:rsidR="007178F3">
        <w:rPr>
          <w:lang w:val="ru-RU"/>
        </w:rPr>
        <w:t xml:space="preserve">росту импортных и внутренних цен. Наконец, </w:t>
      </w:r>
      <w:r>
        <w:rPr>
          <w:lang w:val="ru-RU"/>
        </w:rPr>
        <w:t xml:space="preserve">реформа </w:t>
      </w:r>
      <w:r w:rsidR="007178F3">
        <w:rPr>
          <w:lang w:val="ru-RU"/>
        </w:rPr>
        <w:t xml:space="preserve">увенчалась созданием денежной системы, просуществовавшей около 140 лет — вплоть до реформы </w:t>
      </w:r>
      <w:proofErr w:type="spellStart"/>
      <w:r w:rsidR="007178F3">
        <w:rPr>
          <w:lang w:val="ru-RU"/>
        </w:rPr>
        <w:t>Канкрина</w:t>
      </w:r>
      <w:proofErr w:type="spellEnd"/>
      <w:r w:rsidR="007178F3">
        <w:rPr>
          <w:lang w:val="ru-RU"/>
        </w:rPr>
        <w:t xml:space="preserve"> 1839–1843 гг. </w:t>
      </w:r>
    </w:p>
    <w:p w14:paraId="42555FFD" w14:textId="77777777" w:rsidR="00A56184" w:rsidRDefault="007178F3" w:rsidP="00A56184">
      <w:pPr>
        <w:rPr>
          <w:lang w:val="ru-RU"/>
        </w:rPr>
      </w:pPr>
      <w:r>
        <w:rPr>
          <w:lang w:val="ru-RU"/>
        </w:rPr>
        <w:lastRenderedPageBreak/>
        <w:t xml:space="preserve">Вместе с тем, </w:t>
      </w:r>
      <w:r w:rsidR="005B4F16">
        <w:rPr>
          <w:lang w:val="ru-RU"/>
        </w:rPr>
        <w:t>петровская денежная реформа</w:t>
      </w:r>
      <w:r>
        <w:rPr>
          <w:lang w:val="ru-RU"/>
        </w:rPr>
        <w:t xml:space="preserve"> до сих пор не была предметом всестороннего рассмотрения в историографии. </w:t>
      </w:r>
      <w:r w:rsidR="005B4F16">
        <w:rPr>
          <w:lang w:val="ru-RU"/>
        </w:rPr>
        <w:t xml:space="preserve">Она </w:t>
      </w:r>
      <w:r>
        <w:rPr>
          <w:lang w:val="ru-RU"/>
        </w:rPr>
        <w:t>вовсе не упоминается в обобщающих работах о петровских преобразованиях А. Б. Каменского и Е. В. Анисимова.</w:t>
      </w:r>
      <w:r w:rsidRPr="00EE3BC1">
        <w:rPr>
          <w:rStyle w:val="FootnoteReference"/>
        </w:rPr>
        <w:footnoteReference w:id="1"/>
      </w:r>
      <w:r>
        <w:rPr>
          <w:lang w:val="ru-RU"/>
        </w:rPr>
        <w:t xml:space="preserve"> С. М. Соловьев, В. О. Ключевский, М. М. Богословский, Н. И. Павленко упоминали ее лишь вскользь.</w:t>
      </w:r>
      <w:r w:rsidRPr="0032736B">
        <w:rPr>
          <w:rStyle w:val="FootnoteReference"/>
          <w:lang w:val="ru-RU"/>
        </w:rPr>
        <w:footnoteReference w:id="2"/>
      </w:r>
      <w:r>
        <w:rPr>
          <w:lang w:val="ru-RU"/>
        </w:rPr>
        <w:t xml:space="preserve"> Н. Г. Устрялов посвятил ей чуть больше трех страниц.</w:t>
      </w:r>
      <w:r>
        <w:rPr>
          <w:rStyle w:val="FootnoteReference"/>
          <w:lang w:val="ru-RU"/>
        </w:rPr>
        <w:footnoteReference w:id="3"/>
      </w:r>
      <w:r>
        <w:rPr>
          <w:lang w:val="ru-RU"/>
        </w:rPr>
        <w:t xml:space="preserve"> Нумизматическая сторона реформы подробно исследована в работах </w:t>
      </w:r>
      <w:r w:rsidR="00F31A95">
        <w:rPr>
          <w:lang w:val="ru-RU"/>
        </w:rPr>
        <w:t>И. Г. Спасского, В. В. </w:t>
      </w:r>
      <w:proofErr w:type="spellStart"/>
      <w:r w:rsidR="00F31A95">
        <w:rPr>
          <w:lang w:val="ru-RU"/>
        </w:rPr>
        <w:t>Узденикова</w:t>
      </w:r>
      <w:proofErr w:type="spellEnd"/>
      <w:r w:rsidR="00F31A95">
        <w:rPr>
          <w:lang w:val="ru-RU"/>
        </w:rPr>
        <w:t>, В. А. Дурова.</w:t>
      </w:r>
      <w:r w:rsidR="00F31A95">
        <w:rPr>
          <w:rStyle w:val="FootnoteReference"/>
          <w:lang w:val="ru-RU"/>
        </w:rPr>
        <w:footnoteReference w:id="4"/>
      </w:r>
      <w:r w:rsidR="00F31A95">
        <w:rPr>
          <w:lang w:val="ru-RU"/>
        </w:rPr>
        <w:t xml:space="preserve"> Значительное внимание денежной реформе как фискальной мере уделил П. Н. Милюков.</w:t>
      </w:r>
      <w:r w:rsidR="00F31A95">
        <w:rPr>
          <w:rStyle w:val="FootnoteReference"/>
          <w:lang w:val="ru-RU"/>
        </w:rPr>
        <w:footnoteReference w:id="5"/>
      </w:r>
      <w:r w:rsidR="00F31A95">
        <w:rPr>
          <w:lang w:val="ru-RU"/>
        </w:rPr>
        <w:t xml:space="preserve"> Первый и до сих пор единственный опыт синтеза наработок нумизматов и экономических историков относительно петровской денежной реформы предпринял уже в 1990-е гг. А. И. </w:t>
      </w:r>
      <w:proofErr w:type="spellStart"/>
      <w:r w:rsidR="00F31A95">
        <w:rPr>
          <w:lang w:val="ru-RU"/>
        </w:rPr>
        <w:t>Юхт</w:t>
      </w:r>
      <w:proofErr w:type="spellEnd"/>
      <w:r w:rsidR="00F31A95">
        <w:rPr>
          <w:lang w:val="ru-RU"/>
        </w:rPr>
        <w:t>.</w:t>
      </w:r>
      <w:r w:rsidR="00F31A95">
        <w:rPr>
          <w:rStyle w:val="FootnoteReference"/>
          <w:lang w:val="ru-RU"/>
        </w:rPr>
        <w:footnoteReference w:id="6"/>
      </w:r>
    </w:p>
    <w:p w14:paraId="60504600" w14:textId="75F7E26F" w:rsidR="00A56184" w:rsidRDefault="0002117E" w:rsidP="00A56184">
      <w:pPr>
        <w:rPr>
          <w:lang w:val="ru-RU"/>
        </w:rPr>
      </w:pPr>
      <w:r>
        <w:rPr>
          <w:lang w:val="ru-RU"/>
        </w:rPr>
        <w:t>В предлагаемом исследовании рассматриваются</w:t>
      </w:r>
      <w:r w:rsidR="00437B3D">
        <w:rPr>
          <w:lang w:val="ru-RU"/>
        </w:rPr>
        <w:t xml:space="preserve"> преимущественно четыре аспекта монетарной истории петровских реформ:</w:t>
      </w:r>
    </w:p>
    <w:p w14:paraId="029A46B8" w14:textId="77777777" w:rsidR="00437B3D" w:rsidRDefault="00437B3D" w:rsidP="00437B3D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>нумизматический: техника денежного производства и характеристика денег как материальных объектов;</w:t>
      </w:r>
    </w:p>
    <w:p w14:paraId="7397B6B7" w14:textId="77777777" w:rsidR="00437B3D" w:rsidRDefault="00437B3D" w:rsidP="00437B3D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lastRenderedPageBreak/>
        <w:t>теоретический: представления правительства и народа об источниках покупательной силы денег;</w:t>
      </w:r>
    </w:p>
    <w:p w14:paraId="1E497B54" w14:textId="77777777" w:rsidR="00437B3D" w:rsidRDefault="00437B3D" w:rsidP="00437B3D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>институциональный: организация денежного хозяйства и регулирование денежного обращения;</w:t>
      </w:r>
    </w:p>
    <w:p w14:paraId="040CFED7" w14:textId="77777777" w:rsidR="00437B3D" w:rsidRDefault="00437B3D" w:rsidP="00437B3D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>экономический: функционирование денег в экономике, развитие рыночных отношений.</w:t>
      </w:r>
    </w:p>
    <w:p w14:paraId="01992FDD" w14:textId="348A01BF" w:rsidR="00E6262B" w:rsidRDefault="00E6262B" w:rsidP="00437B3D">
      <w:pPr>
        <w:rPr>
          <w:lang w:val="ru-RU"/>
        </w:rPr>
      </w:pPr>
      <w:r>
        <w:rPr>
          <w:lang w:val="ru-RU"/>
        </w:rPr>
        <w:t>Источники, на которых основана работа, можно разделить на три основные категории. Во-первых, официальная документация денежных дворов и органов, которые ими управляли, прежде всего приходо-расходные книги денежных дворов (РГАДА, ф. 16, 19, 396</w:t>
      </w:r>
      <w:r w:rsidR="00703C27">
        <w:rPr>
          <w:lang w:val="ru-RU"/>
        </w:rPr>
        <w:t>; РГИА ВМФ, ф. 177</w:t>
      </w:r>
      <w:r>
        <w:rPr>
          <w:lang w:val="ru-RU"/>
        </w:rPr>
        <w:t>)</w:t>
      </w:r>
      <w:r w:rsidR="00703C27">
        <w:rPr>
          <w:lang w:val="ru-RU"/>
        </w:rPr>
        <w:t>. Во-вторых, законодательные и нормативные акты, касающиеся денежного дела (большинство опубликовано в ПСЗРИ и в «Докладах и приговорах Сената»; также использованы архивные фонды Сената, Камер- и Берг-коллегий</w:t>
      </w:r>
      <w:r w:rsidR="00A675F9" w:rsidRPr="00A675F9">
        <w:rPr>
          <w:lang w:val="ru-RU"/>
        </w:rPr>
        <w:t xml:space="preserve"> — </w:t>
      </w:r>
      <w:r w:rsidR="00A675F9">
        <w:rPr>
          <w:lang w:val="ru-RU"/>
        </w:rPr>
        <w:t>РГАДА, ф. 248, 273, 271</w:t>
      </w:r>
      <w:r w:rsidR="00703C27">
        <w:rPr>
          <w:lang w:val="ru-RU"/>
        </w:rPr>
        <w:t xml:space="preserve">). В-третьих, </w:t>
      </w:r>
      <w:r w:rsidR="00A675F9">
        <w:rPr>
          <w:lang w:val="ru-RU"/>
        </w:rPr>
        <w:t xml:space="preserve">трактаты, преобразовательные проекты, сказки, письма и т. п., содержащие теоретическое осмысление проблем денежного обращения, в том числе «Политика» Юрия </w:t>
      </w:r>
      <w:proofErr w:type="spellStart"/>
      <w:r w:rsidR="00A675F9">
        <w:rPr>
          <w:lang w:val="ru-RU"/>
        </w:rPr>
        <w:t>Крижанича</w:t>
      </w:r>
      <w:proofErr w:type="spellEnd"/>
      <w:r w:rsidR="00A675F9">
        <w:rPr>
          <w:lang w:val="ru-RU"/>
        </w:rPr>
        <w:t xml:space="preserve">, «Книга о скудости и богатстве» Ивана </w:t>
      </w:r>
      <w:proofErr w:type="spellStart"/>
      <w:r w:rsidR="00A675F9">
        <w:rPr>
          <w:lang w:val="ru-RU"/>
        </w:rPr>
        <w:t>Посошкова</w:t>
      </w:r>
      <w:proofErr w:type="spellEnd"/>
      <w:r w:rsidR="00A675F9">
        <w:rPr>
          <w:lang w:val="ru-RU"/>
        </w:rPr>
        <w:t xml:space="preserve"> и малоизвестные письма дьяка Якова Борина, который в 1701–1706 гг. заведовал крупнейшим русским денежным двором, его начальнику боярину Федору Головину (РГАДА, ф. 160).</w:t>
      </w:r>
      <w:r w:rsidR="00145A72">
        <w:rPr>
          <w:lang w:val="ru-RU"/>
        </w:rPr>
        <w:t xml:space="preserve"> Оригинальных нумизматических исследований для работы не проводилось.</w:t>
      </w:r>
    </w:p>
    <w:p w14:paraId="2D71DDB8" w14:textId="4B2CAAC2" w:rsidR="0002117E" w:rsidRDefault="0002117E" w:rsidP="00437B3D">
      <w:pPr>
        <w:rPr>
          <w:lang w:val="ru-RU"/>
        </w:rPr>
      </w:pPr>
      <w:r>
        <w:rPr>
          <w:lang w:val="ru-RU"/>
        </w:rPr>
        <w:t>Основные выводы исследования:</w:t>
      </w:r>
    </w:p>
    <w:p w14:paraId="6CCB197C" w14:textId="747F9F51" w:rsidR="0002117E" w:rsidRPr="0002117E" w:rsidRDefault="0002117E" w:rsidP="0002117E">
      <w:pPr>
        <w:pStyle w:val="ListParagraph"/>
        <w:numPr>
          <w:ilvl w:val="0"/>
          <w:numId w:val="9"/>
        </w:numPr>
        <w:rPr>
          <w:lang w:val="ru-RU"/>
        </w:rPr>
      </w:pPr>
      <w:r w:rsidRPr="0002117E">
        <w:rPr>
          <w:lang w:val="ru-RU"/>
        </w:rPr>
        <w:t xml:space="preserve">Денежная масса в России </w:t>
      </w:r>
      <w:r w:rsidRPr="0002117E">
        <w:rPr>
          <w:lang w:val="ru-RU"/>
        </w:rPr>
        <w:t xml:space="preserve">к </w:t>
      </w:r>
      <w:r w:rsidRPr="0002117E">
        <w:rPr>
          <w:lang w:val="ru-RU"/>
        </w:rPr>
        <w:t>конц</w:t>
      </w:r>
      <w:r w:rsidRPr="0002117E">
        <w:rPr>
          <w:lang w:val="ru-RU"/>
        </w:rPr>
        <w:t>у</w:t>
      </w:r>
      <w:r w:rsidRPr="0002117E">
        <w:rPr>
          <w:lang w:val="ru-RU"/>
        </w:rPr>
        <w:t xml:space="preserve"> </w:t>
      </w:r>
      <w:r w:rsidRPr="0002117E">
        <w:t>XVII </w:t>
      </w:r>
      <w:r w:rsidRPr="0002117E">
        <w:rPr>
          <w:lang w:val="ru-RU"/>
        </w:rPr>
        <w:t xml:space="preserve">в. </w:t>
      </w:r>
      <w:r w:rsidRPr="0002117E">
        <w:rPr>
          <w:lang w:val="ru-RU"/>
        </w:rPr>
        <w:t>составляла</w:t>
      </w:r>
      <w:r w:rsidRPr="0002117E">
        <w:rPr>
          <w:lang w:val="ru-RU"/>
        </w:rPr>
        <w:t xml:space="preserve"> ~ 512 т серебряного эквивалента</w:t>
      </w:r>
      <w:r w:rsidRPr="0002117E">
        <w:rPr>
          <w:lang w:val="ru-RU"/>
        </w:rPr>
        <w:t xml:space="preserve">, а к концу петровского царствования выросла в реальном выражении на </w:t>
      </w:r>
      <w:r w:rsidRPr="0002117E">
        <w:rPr>
          <w:lang w:val="ru-RU"/>
        </w:rPr>
        <w:t xml:space="preserve">~ 20 %. </w:t>
      </w:r>
      <w:r w:rsidRPr="0002117E">
        <w:rPr>
          <w:lang w:val="ru-RU"/>
        </w:rPr>
        <w:t>Согласно расчетам Б. Н. Миронова, хлебные цены за это же время выросли в 2,45 раза. Из этого следует, что инфляция носила не монетарный характер, т. е. не была вызвана исключительно ростом денежной массы.</w:t>
      </w:r>
    </w:p>
    <w:p w14:paraId="127E3E4A" w14:textId="60F9DE1E" w:rsidR="0002117E" w:rsidRPr="0002117E" w:rsidRDefault="0002117E" w:rsidP="00240908">
      <w:pPr>
        <w:pStyle w:val="ListParagraph"/>
        <w:numPr>
          <w:ilvl w:val="0"/>
          <w:numId w:val="9"/>
        </w:numPr>
        <w:rPr>
          <w:lang w:val="ru-RU"/>
        </w:rPr>
      </w:pPr>
      <w:r w:rsidRPr="0002117E">
        <w:rPr>
          <w:lang w:val="ru-RU"/>
        </w:rPr>
        <w:t xml:space="preserve">Курс рубля </w:t>
      </w:r>
      <w:r w:rsidRPr="0002117E">
        <w:rPr>
          <w:lang w:val="ru-RU"/>
        </w:rPr>
        <w:t xml:space="preserve">в течение петровского царствования </w:t>
      </w:r>
      <w:r w:rsidRPr="0002117E">
        <w:rPr>
          <w:lang w:val="ru-RU"/>
        </w:rPr>
        <w:t>упал на ~ 40 % вследствие отказа от политики принудительного завышения курса. Это привело к импорту «революции цен».</w:t>
      </w:r>
    </w:p>
    <w:p w14:paraId="21561969" w14:textId="347F4B73" w:rsidR="0002117E" w:rsidRPr="0002117E" w:rsidRDefault="0002117E" w:rsidP="005112A2">
      <w:pPr>
        <w:pStyle w:val="ListParagraph"/>
        <w:numPr>
          <w:ilvl w:val="0"/>
          <w:numId w:val="9"/>
        </w:numPr>
        <w:rPr>
          <w:lang w:val="ru-RU"/>
        </w:rPr>
      </w:pPr>
      <w:r w:rsidRPr="0002117E">
        <w:rPr>
          <w:lang w:val="ru-RU"/>
        </w:rPr>
        <w:lastRenderedPageBreak/>
        <w:t xml:space="preserve">Деньги нового образца </w:t>
      </w:r>
      <w:r w:rsidRPr="0002117E">
        <w:rPr>
          <w:lang w:val="ru-RU"/>
        </w:rPr>
        <w:t xml:space="preserve">к концу петровского царствования </w:t>
      </w:r>
      <w:r w:rsidRPr="0002117E">
        <w:rPr>
          <w:lang w:val="ru-RU"/>
        </w:rPr>
        <w:t>составляли менее 30 % денежной массы. Доля медных денег не достигала и 8 %.</w:t>
      </w:r>
    </w:p>
    <w:p w14:paraId="4BD9B719" w14:textId="037E5A2D" w:rsidR="0002117E" w:rsidRPr="0002117E" w:rsidRDefault="0002117E" w:rsidP="00CB661A">
      <w:pPr>
        <w:pStyle w:val="ListParagraph"/>
        <w:numPr>
          <w:ilvl w:val="0"/>
          <w:numId w:val="9"/>
        </w:numPr>
        <w:rPr>
          <w:lang w:val="ru-RU"/>
        </w:rPr>
      </w:pPr>
      <w:r w:rsidRPr="0002117E">
        <w:rPr>
          <w:lang w:val="ru-RU"/>
        </w:rPr>
        <w:t xml:space="preserve">Петровская денежная реформа первоначально была ситуативной фискальной мерой, но в конечном итоге переросла в масштабную перестройку финансовой системы России. </w:t>
      </w:r>
    </w:p>
    <w:p w14:paraId="7A522766" w14:textId="62B0A279" w:rsidR="0002117E" w:rsidRPr="0002117E" w:rsidRDefault="0002117E" w:rsidP="0002117E">
      <w:pPr>
        <w:numPr>
          <w:ilvl w:val="0"/>
          <w:numId w:val="9"/>
        </w:numPr>
        <w:tabs>
          <w:tab w:val="num" w:pos="720"/>
        </w:tabs>
        <w:rPr>
          <w:lang w:val="ru-RU"/>
        </w:rPr>
      </w:pPr>
      <w:r w:rsidRPr="0002117E">
        <w:rPr>
          <w:lang w:val="ru-RU"/>
        </w:rPr>
        <w:t>Деньги</w:t>
      </w:r>
      <w:r>
        <w:rPr>
          <w:lang w:val="ru-RU"/>
        </w:rPr>
        <w:t xml:space="preserve"> в результате петровских финансовых преобразований</w:t>
      </w:r>
      <w:bookmarkStart w:id="0" w:name="_GoBack"/>
      <w:bookmarkEnd w:id="0"/>
      <w:r w:rsidRPr="0002117E">
        <w:rPr>
          <w:lang w:val="ru-RU"/>
        </w:rPr>
        <w:t xml:space="preserve"> стали инструментом государственного управления через механизмы жалований, подрядов, ссуд и т. д., элементом «регулярного государства».</w:t>
      </w:r>
    </w:p>
    <w:p w14:paraId="3CBE74C8" w14:textId="77777777" w:rsidR="0002117E" w:rsidRPr="0002117E" w:rsidRDefault="0002117E" w:rsidP="0002117E">
      <w:pPr>
        <w:numPr>
          <w:ilvl w:val="0"/>
          <w:numId w:val="9"/>
        </w:numPr>
        <w:tabs>
          <w:tab w:val="num" w:pos="720"/>
        </w:tabs>
        <w:rPr>
          <w:lang w:val="ru-RU"/>
        </w:rPr>
      </w:pPr>
      <w:r w:rsidRPr="0002117E">
        <w:rPr>
          <w:lang w:val="ru-RU"/>
        </w:rPr>
        <w:t>Важнейшим последствием петровской денежной реформы стало создание институциональной среды для дальнейшего развития финансовой системы России, в том числе банков.</w:t>
      </w:r>
    </w:p>
    <w:p w14:paraId="6FC00EF0" w14:textId="41B6B4F6" w:rsidR="00E6262B" w:rsidRPr="00E6262B" w:rsidRDefault="00E6262B" w:rsidP="00437B3D">
      <w:pPr>
        <w:rPr>
          <w:lang w:val="ru-RU"/>
        </w:rPr>
      </w:pPr>
    </w:p>
    <w:sectPr w:rsidR="00E6262B" w:rsidRPr="00E6262B" w:rsidSect="00E32E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F5CB" w14:textId="77777777" w:rsidR="00A53015" w:rsidRDefault="00A53015" w:rsidP="0032736B">
      <w:pPr>
        <w:spacing w:line="240" w:lineRule="auto"/>
      </w:pPr>
      <w:r>
        <w:separator/>
      </w:r>
    </w:p>
  </w:endnote>
  <w:endnote w:type="continuationSeparator" w:id="0">
    <w:p w14:paraId="7A5897F6" w14:textId="77777777" w:rsidR="00A53015" w:rsidRDefault="00A53015" w:rsidP="00327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DE2A0" w14:textId="77777777" w:rsidR="00A53015" w:rsidRDefault="00A53015" w:rsidP="0032736B">
      <w:pPr>
        <w:spacing w:line="240" w:lineRule="auto"/>
      </w:pPr>
      <w:r>
        <w:separator/>
      </w:r>
    </w:p>
  </w:footnote>
  <w:footnote w:type="continuationSeparator" w:id="0">
    <w:p w14:paraId="4C544683" w14:textId="77777777" w:rsidR="00A53015" w:rsidRDefault="00A53015" w:rsidP="0032736B">
      <w:pPr>
        <w:spacing w:line="240" w:lineRule="auto"/>
      </w:pPr>
      <w:r>
        <w:continuationSeparator/>
      </w:r>
    </w:p>
  </w:footnote>
  <w:footnote w:id="1">
    <w:p w14:paraId="0386C61C" w14:textId="77777777" w:rsidR="007178F3" w:rsidRPr="005B4F16" w:rsidRDefault="007178F3" w:rsidP="007178F3">
      <w:pPr>
        <w:pStyle w:val="FootnoteText"/>
      </w:pPr>
      <w:r w:rsidRPr="0032736B">
        <w:rPr>
          <w:rStyle w:val="FootnoteReference"/>
        </w:rPr>
        <w:footnoteRef/>
      </w:r>
      <w:r w:rsidRPr="0032736B">
        <w:t xml:space="preserve"> Каменский А.</w:t>
      </w:r>
      <w:r>
        <w:t> </w:t>
      </w:r>
      <w:r w:rsidRPr="0032736B">
        <w:t>Б. От Петра </w:t>
      </w:r>
      <w:r w:rsidRPr="0032736B">
        <w:rPr>
          <w:lang w:val="en-US"/>
        </w:rPr>
        <w:t>I</w:t>
      </w:r>
      <w:r w:rsidRPr="0032736B">
        <w:t xml:space="preserve"> до Павла </w:t>
      </w:r>
      <w:r w:rsidRPr="0032736B">
        <w:rPr>
          <w:lang w:val="en-US"/>
        </w:rPr>
        <w:t>I</w:t>
      </w:r>
      <w:r>
        <w:t>:</w:t>
      </w:r>
      <w:r w:rsidRPr="0032736B">
        <w:t xml:space="preserve"> Реформы в России XVIII века (опыт целостног</w:t>
      </w:r>
      <w:r>
        <w:t>о анализа). М., </w:t>
      </w:r>
      <w:r w:rsidRPr="0032736B">
        <w:t>2001. 575 с. Анисимов Е.</w:t>
      </w:r>
      <w:r>
        <w:t xml:space="preserve"> В. </w:t>
      </w:r>
      <w:r w:rsidR="005B4F16">
        <w:t xml:space="preserve">Государственные преобразования и самодержавие Петра Великого в первой четверти </w:t>
      </w:r>
      <w:r w:rsidR="005B4F16">
        <w:rPr>
          <w:lang w:val="en-US"/>
        </w:rPr>
        <w:t>XVIII</w:t>
      </w:r>
      <w:r w:rsidR="005B4F16">
        <w:t> века. СПб., 1997. 332 с.</w:t>
      </w:r>
    </w:p>
  </w:footnote>
  <w:footnote w:id="2">
    <w:p w14:paraId="646ADF7C" w14:textId="77777777" w:rsidR="007178F3" w:rsidRPr="0032736B" w:rsidRDefault="007178F3" w:rsidP="007178F3">
      <w:pPr>
        <w:pStyle w:val="FootnoteText"/>
      </w:pPr>
      <w:r w:rsidRPr="0032736B">
        <w:rPr>
          <w:rStyle w:val="FootnoteReference"/>
        </w:rPr>
        <w:footnoteRef/>
      </w:r>
      <w:r w:rsidRPr="0032736B">
        <w:t xml:space="preserve"> Соловьев С.</w:t>
      </w:r>
      <w:r>
        <w:t> </w:t>
      </w:r>
      <w:r w:rsidRPr="0032736B">
        <w:t xml:space="preserve">М. </w:t>
      </w:r>
      <w:r>
        <w:t xml:space="preserve">История России с древнейших времен. Т. 15 // Соч. в 18 кн. М., 1993. Кн. 8. С. 69–70. </w:t>
      </w:r>
      <w:r w:rsidRPr="0032736B">
        <w:t>Ключевский В.</w:t>
      </w:r>
      <w:r>
        <w:t> </w:t>
      </w:r>
      <w:r w:rsidRPr="0032736B">
        <w:t>О. Курс русской истории</w:t>
      </w:r>
      <w:r>
        <w:t xml:space="preserve">. </w:t>
      </w:r>
      <w:r w:rsidRPr="0032736B">
        <w:t xml:space="preserve">// Соч. в 9 т. </w:t>
      </w:r>
      <w:r>
        <w:t>М., </w:t>
      </w:r>
      <w:r w:rsidRPr="0032736B">
        <w:t xml:space="preserve">1989. </w:t>
      </w:r>
      <w:r>
        <w:t>Т. 4. С. 123–124.</w:t>
      </w:r>
      <w:r w:rsidRPr="0032736B">
        <w:t xml:space="preserve"> </w:t>
      </w:r>
      <w:r>
        <w:t>Богословский М. М. Петр </w:t>
      </w:r>
      <w:r>
        <w:rPr>
          <w:lang w:val="en-US"/>
        </w:rPr>
        <w:t>I</w:t>
      </w:r>
      <w:r>
        <w:t>. Материалы для биографии: в 5 т. М., 2007. Т. 4. С. 199–200. Павленко Н. И. Петр Великий. М., </w:t>
      </w:r>
      <w:r w:rsidRPr="0032736B">
        <w:t xml:space="preserve">1990. </w:t>
      </w:r>
      <w:r>
        <w:t>С. 149</w:t>
      </w:r>
      <w:r w:rsidRPr="0032736B">
        <w:t>.</w:t>
      </w:r>
    </w:p>
  </w:footnote>
  <w:footnote w:id="3">
    <w:p w14:paraId="730C848A" w14:textId="77777777" w:rsidR="007178F3" w:rsidRDefault="007178F3" w:rsidP="007178F3">
      <w:pPr>
        <w:pStyle w:val="FootnoteText"/>
      </w:pPr>
      <w:r>
        <w:rPr>
          <w:rStyle w:val="FootnoteReference"/>
        </w:rPr>
        <w:footnoteRef/>
      </w:r>
      <w:r>
        <w:t xml:space="preserve"> Устрялов Н. Г. История царствования Петра Великого. СПб., 1858. Т. 3. С. 350–354.</w:t>
      </w:r>
    </w:p>
  </w:footnote>
  <w:footnote w:id="4">
    <w:p w14:paraId="4245A2EF" w14:textId="77777777" w:rsidR="00F31A95" w:rsidRDefault="00F31A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2736B">
        <w:t>Спасский И.</w:t>
      </w:r>
      <w:r>
        <w:t> </w:t>
      </w:r>
      <w:r w:rsidRPr="0032736B">
        <w:t>Г. Русская монетная система: Историко-нумизматический очерк</w:t>
      </w:r>
      <w:r>
        <w:t xml:space="preserve"> / изд. 4-е. Л., </w:t>
      </w:r>
      <w:r w:rsidRPr="0032736B">
        <w:t>1970. 256 с.</w:t>
      </w:r>
      <w:r>
        <w:t xml:space="preserve"> </w:t>
      </w:r>
      <w:proofErr w:type="spellStart"/>
      <w:r w:rsidRPr="0032736B">
        <w:t>Уздеников</w:t>
      </w:r>
      <w:proofErr w:type="spellEnd"/>
      <w:r w:rsidRPr="0032736B">
        <w:t> В.</w:t>
      </w:r>
      <w:r>
        <w:t> В. Монеты России: 1700–1917 / изд. 4-е. М., </w:t>
      </w:r>
      <w:r w:rsidRPr="0032736B">
        <w:t xml:space="preserve">2011. 502 с. </w:t>
      </w:r>
      <w:r>
        <w:t>О</w:t>
      </w:r>
      <w:r w:rsidRPr="0032736B">
        <w:t xml:space="preserve">н же. Монеты России </w:t>
      </w:r>
      <w:r w:rsidRPr="0032736B">
        <w:rPr>
          <w:lang w:val="en-US"/>
        </w:rPr>
        <w:t>XVIII</w:t>
      </w:r>
      <w:r w:rsidRPr="0032736B">
        <w:t xml:space="preserve"> – начала ХХ века: Очерки по нумизматике. Факт</w:t>
      </w:r>
      <w:r>
        <w:t>ы, предположения, рекомендации / и</w:t>
      </w:r>
      <w:r w:rsidRPr="0032736B">
        <w:t xml:space="preserve">зд. 3-е, </w:t>
      </w:r>
      <w:proofErr w:type="spellStart"/>
      <w:r w:rsidRPr="0032736B">
        <w:t>испр</w:t>
      </w:r>
      <w:proofErr w:type="spellEnd"/>
      <w:proofErr w:type="gramStart"/>
      <w:r w:rsidRPr="0032736B">
        <w:t>.</w:t>
      </w:r>
      <w:proofErr w:type="gramEnd"/>
      <w:r w:rsidRPr="0032736B">
        <w:t xml:space="preserve"> и доп. М., 2004. 585 с.</w:t>
      </w:r>
      <w:r>
        <w:t xml:space="preserve"> </w:t>
      </w:r>
      <w:r w:rsidRPr="0032736B">
        <w:rPr>
          <w:bCs/>
        </w:rPr>
        <w:t>Дуров В.</w:t>
      </w:r>
      <w:r>
        <w:rPr>
          <w:bCs/>
        </w:rPr>
        <w:t> </w:t>
      </w:r>
      <w:r w:rsidRPr="0032736B">
        <w:rPr>
          <w:bCs/>
        </w:rPr>
        <w:t>А.</w:t>
      </w:r>
      <w:r w:rsidRPr="0032736B">
        <w:t xml:space="preserve"> Очерк начального периода деятельности </w:t>
      </w:r>
      <w:proofErr w:type="spellStart"/>
      <w:r w:rsidRPr="0032736B">
        <w:t>Кадашевского</w:t>
      </w:r>
      <w:proofErr w:type="spellEnd"/>
      <w:r w:rsidRPr="0032736B">
        <w:t xml:space="preserve"> монетного двора в связи с денежной реформой Петра </w:t>
      </w:r>
      <w:r w:rsidRPr="0032736B">
        <w:rPr>
          <w:lang w:val="en-US"/>
        </w:rPr>
        <w:t>I</w:t>
      </w:r>
      <w:r w:rsidRPr="0032736B">
        <w:t xml:space="preserve"> // На рубеже двух веков / Труды ГИМ. </w:t>
      </w:r>
      <w:proofErr w:type="spellStart"/>
      <w:r w:rsidRPr="0032736B">
        <w:t>Вып</w:t>
      </w:r>
      <w:proofErr w:type="spellEnd"/>
      <w:r w:rsidRPr="0032736B">
        <w:t>. 47. М., 1978. С. 40–65</w:t>
      </w:r>
      <w:r>
        <w:t>.</w:t>
      </w:r>
      <w:r w:rsidRPr="0032736B">
        <w:t xml:space="preserve"> </w:t>
      </w:r>
      <w:r>
        <w:t>О</w:t>
      </w:r>
      <w:r w:rsidRPr="0032736B">
        <w:t xml:space="preserve">н же. Денежные дворы Приказа Большой казны в конце </w:t>
      </w:r>
      <w:r w:rsidRPr="0032736B">
        <w:rPr>
          <w:lang w:val="en-US"/>
        </w:rPr>
        <w:t>XVII</w:t>
      </w:r>
      <w:r w:rsidRPr="0032736B">
        <w:t xml:space="preserve"> – начале </w:t>
      </w:r>
      <w:r w:rsidRPr="0032736B">
        <w:rPr>
          <w:lang w:val="en-US"/>
        </w:rPr>
        <w:t>XVIII</w:t>
      </w:r>
      <w:r w:rsidRPr="0032736B">
        <w:t xml:space="preserve"> в. </w:t>
      </w:r>
      <w:r>
        <w:t xml:space="preserve">// </w:t>
      </w:r>
      <w:r w:rsidRPr="0032736B">
        <w:t xml:space="preserve">Памятники русского денежного обращения </w:t>
      </w:r>
      <w:r w:rsidRPr="0032736B">
        <w:rPr>
          <w:lang w:val="en-US"/>
        </w:rPr>
        <w:t>XVIII</w:t>
      </w:r>
      <w:r w:rsidRPr="0032736B">
        <w:t>–</w:t>
      </w:r>
      <w:r w:rsidRPr="0032736B">
        <w:rPr>
          <w:lang w:val="en-US"/>
        </w:rPr>
        <w:t>XX</w:t>
      </w:r>
      <w:r>
        <w:t xml:space="preserve"> вв. /</w:t>
      </w:r>
      <w:r w:rsidRPr="0032736B">
        <w:t xml:space="preserve"> Труды ГИМ. </w:t>
      </w:r>
      <w:proofErr w:type="spellStart"/>
      <w:r w:rsidRPr="0032736B">
        <w:t>Вып</w:t>
      </w:r>
      <w:proofErr w:type="spellEnd"/>
      <w:r w:rsidRPr="0032736B">
        <w:t>. 53. Нумизматический</w:t>
      </w:r>
      <w:r w:rsidRPr="00EE5A00">
        <w:t xml:space="preserve"> </w:t>
      </w:r>
      <w:r w:rsidRPr="0032736B">
        <w:t>с</w:t>
      </w:r>
      <w:r>
        <w:t>борник</w:t>
      </w:r>
      <w:r w:rsidRPr="00EE5A00">
        <w:t xml:space="preserve">, </w:t>
      </w:r>
      <w:r>
        <w:t>ч</w:t>
      </w:r>
      <w:r w:rsidRPr="00EE5A00">
        <w:t>.</w:t>
      </w:r>
      <w:r w:rsidRPr="00722148">
        <w:rPr>
          <w:lang w:val="en-US"/>
        </w:rPr>
        <w:t> </w:t>
      </w:r>
      <w:r w:rsidRPr="00EE5A00">
        <w:t xml:space="preserve">7. </w:t>
      </w:r>
      <w:r>
        <w:t>М</w:t>
      </w:r>
      <w:r w:rsidRPr="00EE5A00">
        <w:t>.,</w:t>
      </w:r>
      <w:r>
        <w:t> </w:t>
      </w:r>
      <w:r w:rsidRPr="00EE5A00">
        <w:t xml:space="preserve">1980. </w:t>
      </w:r>
      <w:r>
        <w:t>С</w:t>
      </w:r>
      <w:r w:rsidRPr="00EE5A00">
        <w:t>.</w:t>
      </w:r>
      <w:r w:rsidRPr="00722148">
        <w:rPr>
          <w:lang w:val="en-US"/>
        </w:rPr>
        <w:t> </w:t>
      </w:r>
      <w:r w:rsidRPr="00EE5A00">
        <w:t>7–36</w:t>
      </w:r>
      <w:r>
        <w:t>.</w:t>
      </w:r>
      <w:r w:rsidRPr="00EE5A00">
        <w:t xml:space="preserve"> </w:t>
      </w:r>
      <w:r>
        <w:t>Он</w:t>
      </w:r>
      <w:r w:rsidRPr="00EE5A00">
        <w:t xml:space="preserve"> </w:t>
      </w:r>
      <w:r>
        <w:t>же</w:t>
      </w:r>
      <w:r w:rsidRPr="00EE5A00">
        <w:t xml:space="preserve">. </w:t>
      </w:r>
      <w:r>
        <w:t>Иван</w:t>
      </w:r>
      <w:r w:rsidRPr="00EE5A00">
        <w:t xml:space="preserve"> </w:t>
      </w:r>
      <w:r>
        <w:t>Посошков</w:t>
      </w:r>
      <w:r w:rsidRPr="00EE5A00">
        <w:t xml:space="preserve"> — </w:t>
      </w:r>
      <w:r>
        <w:t>денежный</w:t>
      </w:r>
      <w:r w:rsidRPr="00EE5A00">
        <w:t xml:space="preserve"> </w:t>
      </w:r>
      <w:r>
        <w:t>мастер</w:t>
      </w:r>
      <w:r w:rsidRPr="00EE5A00">
        <w:t xml:space="preserve"> // </w:t>
      </w:r>
      <w:r>
        <w:t>Нумизматика</w:t>
      </w:r>
      <w:r w:rsidRPr="00EE5A00">
        <w:t xml:space="preserve"> </w:t>
      </w:r>
      <w:r>
        <w:t>и</w:t>
      </w:r>
      <w:r w:rsidRPr="00EE5A00">
        <w:t xml:space="preserve"> </w:t>
      </w:r>
      <w:r>
        <w:t>эпиграфика</w:t>
      </w:r>
      <w:r w:rsidRPr="00EE5A00">
        <w:t xml:space="preserve"> / </w:t>
      </w:r>
      <w:r>
        <w:t>отв</w:t>
      </w:r>
      <w:r w:rsidRPr="00EE5A00">
        <w:t xml:space="preserve">. </w:t>
      </w:r>
      <w:r>
        <w:t>ред</w:t>
      </w:r>
      <w:r w:rsidRPr="00EE5A00">
        <w:t xml:space="preserve">. </w:t>
      </w:r>
      <w:r>
        <w:t>Д</w:t>
      </w:r>
      <w:r w:rsidRPr="00EE5A00">
        <w:t>.</w:t>
      </w:r>
      <w:r w:rsidRPr="00722148">
        <w:rPr>
          <w:lang w:val="en-US"/>
        </w:rPr>
        <w:t> </w:t>
      </w:r>
      <w:r>
        <w:t>Б</w:t>
      </w:r>
      <w:r w:rsidRPr="00EE5A00">
        <w:t>.</w:t>
      </w:r>
      <w:r w:rsidRPr="00722148">
        <w:rPr>
          <w:lang w:val="en-US"/>
        </w:rPr>
        <w:t> </w:t>
      </w:r>
      <w:proofErr w:type="spellStart"/>
      <w:r>
        <w:t>Шелов</w:t>
      </w:r>
      <w:proofErr w:type="spellEnd"/>
      <w:r w:rsidRPr="00EE5A00">
        <w:t xml:space="preserve">. </w:t>
      </w:r>
      <w:r>
        <w:t>М</w:t>
      </w:r>
      <w:r w:rsidRPr="00EE5A00">
        <w:t xml:space="preserve">., 1980. </w:t>
      </w:r>
      <w:r>
        <w:t>Т</w:t>
      </w:r>
      <w:r w:rsidRPr="00722148">
        <w:t>.</w:t>
      </w:r>
      <w:r w:rsidRPr="00722148">
        <w:rPr>
          <w:lang w:val="en-US"/>
        </w:rPr>
        <w:t> </w:t>
      </w:r>
      <w:r>
        <w:t>13. С</w:t>
      </w:r>
      <w:r w:rsidRPr="00722148">
        <w:t>.</w:t>
      </w:r>
      <w:r w:rsidRPr="00722148">
        <w:rPr>
          <w:lang w:val="en-US"/>
        </w:rPr>
        <w:t> </w:t>
      </w:r>
      <w:r w:rsidRPr="00722148">
        <w:t>138–141.</w:t>
      </w:r>
    </w:p>
  </w:footnote>
  <w:footnote w:id="5">
    <w:p w14:paraId="04888DF5" w14:textId="77777777" w:rsidR="00F31A95" w:rsidRDefault="00F31A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2736B">
        <w:t>Милюков П.</w:t>
      </w:r>
      <w:r>
        <w:t> </w:t>
      </w:r>
      <w:r w:rsidRPr="0032736B">
        <w:t xml:space="preserve">Н. Государственное хозяйство России в первой четверти </w:t>
      </w:r>
      <w:r w:rsidRPr="0032736B">
        <w:rPr>
          <w:lang w:val="en-US"/>
        </w:rPr>
        <w:t>XVIII</w:t>
      </w:r>
      <w:r w:rsidRPr="0032736B">
        <w:t> столетия и реформа П</w:t>
      </w:r>
      <w:r>
        <w:t>етра Великого / изд. 2-е. СПб., </w:t>
      </w:r>
      <w:r w:rsidRPr="0032736B">
        <w:t xml:space="preserve">1905. </w:t>
      </w:r>
      <w:r>
        <w:t>695 с</w:t>
      </w:r>
      <w:r w:rsidRPr="0032736B">
        <w:t>.</w:t>
      </w:r>
    </w:p>
  </w:footnote>
  <w:footnote w:id="6">
    <w:p w14:paraId="05BAAF66" w14:textId="77777777" w:rsidR="00F31A95" w:rsidRPr="00F31A95" w:rsidRDefault="00F31A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Юхт</w:t>
      </w:r>
      <w:proofErr w:type="spellEnd"/>
      <w:r>
        <w:t> А. И. Денежная реформа Петра </w:t>
      </w:r>
      <w:r w:rsidRPr="0032736B">
        <w:rPr>
          <w:lang w:val="en-US"/>
        </w:rPr>
        <w:t>I</w:t>
      </w:r>
      <w:r w:rsidRPr="0032736B">
        <w:t xml:space="preserve"> // В</w:t>
      </w:r>
      <w:r>
        <w:t>И</w:t>
      </w:r>
      <w:r w:rsidRPr="0032736B">
        <w:t>. 1994. №</w:t>
      </w:r>
      <w:r>
        <w:t xml:space="preserve"> 3. С. 26–40. Он же. Русские деньги от Петра Великого до Александра </w:t>
      </w:r>
      <w:r>
        <w:rPr>
          <w:lang w:val="en-US"/>
        </w:rPr>
        <w:t>I</w:t>
      </w:r>
      <w:r>
        <w:t>. М., 1994. С. 9–36.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518B"/>
    <w:multiLevelType w:val="multilevel"/>
    <w:tmpl w:val="61021D6C"/>
    <w:lvl w:ilvl="0">
      <w:start w:val="1"/>
      <w:numFmt w:val="decimal"/>
      <w:suff w:val="nothing"/>
      <w:lvlText w:val="Глава %1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decimal"/>
      <w:suff w:val="space"/>
      <w:lvlText w:val="§ %2.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954F4F"/>
    <w:multiLevelType w:val="multilevel"/>
    <w:tmpl w:val="A7A0523A"/>
    <w:lvl w:ilvl="0">
      <w:start w:val="1"/>
      <w:numFmt w:val="decimal"/>
      <w:pStyle w:val="Heading1"/>
      <w:suff w:val="nothing"/>
      <w:lvlText w:val="Глава %1"/>
      <w:lvlJc w:val="left"/>
      <w:pPr>
        <w:ind w:left="720" w:firstLine="0"/>
      </w:pPr>
      <w:rPr>
        <w:rFonts w:hint="default"/>
        <w:caps w:val="0"/>
      </w:rPr>
    </w:lvl>
    <w:lvl w:ilvl="1">
      <w:start w:val="1"/>
      <w:numFmt w:val="decimal"/>
      <w:pStyle w:val="Heading2"/>
      <w:lvlText w:val="§ %2."/>
      <w:lvlJc w:val="left"/>
      <w:pPr>
        <w:tabs>
          <w:tab w:val="num" w:pos="1559"/>
        </w:tabs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" w15:restartNumberingAfterBreak="0">
    <w:nsid w:val="18356977"/>
    <w:multiLevelType w:val="hybridMultilevel"/>
    <w:tmpl w:val="5932260A"/>
    <w:lvl w:ilvl="0" w:tplc="1ABE4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36048"/>
    <w:multiLevelType w:val="hybridMultilevel"/>
    <w:tmpl w:val="09D0AF72"/>
    <w:lvl w:ilvl="0" w:tplc="7F8ED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E31E1"/>
    <w:multiLevelType w:val="hybridMultilevel"/>
    <w:tmpl w:val="8D3A4EF8"/>
    <w:lvl w:ilvl="0" w:tplc="81E6D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AC0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60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80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6B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60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8E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8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A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E76AB7"/>
    <w:multiLevelType w:val="hybridMultilevel"/>
    <w:tmpl w:val="DFEE6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C1FC8"/>
    <w:multiLevelType w:val="hybridMultilevel"/>
    <w:tmpl w:val="F2F2EA0C"/>
    <w:lvl w:ilvl="0" w:tplc="CCFA0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BD72EC"/>
    <w:multiLevelType w:val="hybridMultilevel"/>
    <w:tmpl w:val="3134056E"/>
    <w:lvl w:ilvl="0" w:tplc="6C78C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242091"/>
    <w:multiLevelType w:val="hybridMultilevel"/>
    <w:tmpl w:val="6C845F8A"/>
    <w:lvl w:ilvl="0" w:tplc="06FC5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D5A59"/>
    <w:multiLevelType w:val="hybridMultilevel"/>
    <w:tmpl w:val="7D302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756F8"/>
    <w:multiLevelType w:val="hybridMultilevel"/>
    <w:tmpl w:val="579C8666"/>
    <w:lvl w:ilvl="0" w:tplc="81E6D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C9"/>
    <w:rsid w:val="00016936"/>
    <w:rsid w:val="0002117E"/>
    <w:rsid w:val="0004671D"/>
    <w:rsid w:val="00060007"/>
    <w:rsid w:val="0009715A"/>
    <w:rsid w:val="000A55D5"/>
    <w:rsid w:val="000C1237"/>
    <w:rsid w:val="00145A72"/>
    <w:rsid w:val="00163632"/>
    <w:rsid w:val="001974B4"/>
    <w:rsid w:val="001B6305"/>
    <w:rsid w:val="001E2C98"/>
    <w:rsid w:val="002061A4"/>
    <w:rsid w:val="00275626"/>
    <w:rsid w:val="0028014B"/>
    <w:rsid w:val="002958C2"/>
    <w:rsid w:val="002A1D27"/>
    <w:rsid w:val="002C021B"/>
    <w:rsid w:val="002D4191"/>
    <w:rsid w:val="002E338D"/>
    <w:rsid w:val="002E7208"/>
    <w:rsid w:val="00315B08"/>
    <w:rsid w:val="003270C2"/>
    <w:rsid w:val="0032736B"/>
    <w:rsid w:val="0034225A"/>
    <w:rsid w:val="00385872"/>
    <w:rsid w:val="00386FBF"/>
    <w:rsid w:val="00395E13"/>
    <w:rsid w:val="003C28DE"/>
    <w:rsid w:val="00437B3D"/>
    <w:rsid w:val="00452EED"/>
    <w:rsid w:val="00457A24"/>
    <w:rsid w:val="00470661"/>
    <w:rsid w:val="004753DE"/>
    <w:rsid w:val="00483B14"/>
    <w:rsid w:val="0049020A"/>
    <w:rsid w:val="00491CA3"/>
    <w:rsid w:val="00495BAA"/>
    <w:rsid w:val="004A4EE7"/>
    <w:rsid w:val="004C49F0"/>
    <w:rsid w:val="004D3AF6"/>
    <w:rsid w:val="004D7471"/>
    <w:rsid w:val="004E081F"/>
    <w:rsid w:val="00550B35"/>
    <w:rsid w:val="00572844"/>
    <w:rsid w:val="00577748"/>
    <w:rsid w:val="005A23C8"/>
    <w:rsid w:val="005B329F"/>
    <w:rsid w:val="005B4F16"/>
    <w:rsid w:val="005C6E8C"/>
    <w:rsid w:val="005D331F"/>
    <w:rsid w:val="00614E3A"/>
    <w:rsid w:val="006255A3"/>
    <w:rsid w:val="00641961"/>
    <w:rsid w:val="006426E0"/>
    <w:rsid w:val="006640E0"/>
    <w:rsid w:val="00694594"/>
    <w:rsid w:val="00703C27"/>
    <w:rsid w:val="007178F3"/>
    <w:rsid w:val="00721104"/>
    <w:rsid w:val="00722148"/>
    <w:rsid w:val="0073465C"/>
    <w:rsid w:val="0074368C"/>
    <w:rsid w:val="00743E7E"/>
    <w:rsid w:val="00780C11"/>
    <w:rsid w:val="00783594"/>
    <w:rsid w:val="007949AB"/>
    <w:rsid w:val="007A2C94"/>
    <w:rsid w:val="007C09D8"/>
    <w:rsid w:val="007C3310"/>
    <w:rsid w:val="007C6F66"/>
    <w:rsid w:val="007D21A4"/>
    <w:rsid w:val="00843AE8"/>
    <w:rsid w:val="00851930"/>
    <w:rsid w:val="00856659"/>
    <w:rsid w:val="008843C6"/>
    <w:rsid w:val="008B54C7"/>
    <w:rsid w:val="008C12B6"/>
    <w:rsid w:val="008D5B78"/>
    <w:rsid w:val="0090248F"/>
    <w:rsid w:val="009031ED"/>
    <w:rsid w:val="00945ECF"/>
    <w:rsid w:val="00963BC7"/>
    <w:rsid w:val="00A0200A"/>
    <w:rsid w:val="00A12154"/>
    <w:rsid w:val="00A53015"/>
    <w:rsid w:val="00A56184"/>
    <w:rsid w:val="00A65BB3"/>
    <w:rsid w:val="00A66A20"/>
    <w:rsid w:val="00A675F9"/>
    <w:rsid w:val="00A8368C"/>
    <w:rsid w:val="00A90893"/>
    <w:rsid w:val="00AB1259"/>
    <w:rsid w:val="00B11C57"/>
    <w:rsid w:val="00B2334B"/>
    <w:rsid w:val="00B25CC0"/>
    <w:rsid w:val="00B411A9"/>
    <w:rsid w:val="00B41E30"/>
    <w:rsid w:val="00B7786E"/>
    <w:rsid w:val="00B9363C"/>
    <w:rsid w:val="00BA7AB5"/>
    <w:rsid w:val="00BD26D0"/>
    <w:rsid w:val="00BD7FBE"/>
    <w:rsid w:val="00C07B61"/>
    <w:rsid w:val="00C26B80"/>
    <w:rsid w:val="00C27C3A"/>
    <w:rsid w:val="00C37A3B"/>
    <w:rsid w:val="00C42976"/>
    <w:rsid w:val="00C47276"/>
    <w:rsid w:val="00C766C6"/>
    <w:rsid w:val="00C81BB0"/>
    <w:rsid w:val="00CF2DDE"/>
    <w:rsid w:val="00D011FC"/>
    <w:rsid w:val="00D3558E"/>
    <w:rsid w:val="00D65DC9"/>
    <w:rsid w:val="00DB51CC"/>
    <w:rsid w:val="00DD2D75"/>
    <w:rsid w:val="00DE5016"/>
    <w:rsid w:val="00E07FD9"/>
    <w:rsid w:val="00E32E18"/>
    <w:rsid w:val="00E3449C"/>
    <w:rsid w:val="00E462BE"/>
    <w:rsid w:val="00E50EBB"/>
    <w:rsid w:val="00E60767"/>
    <w:rsid w:val="00E6262B"/>
    <w:rsid w:val="00E873BD"/>
    <w:rsid w:val="00E96A18"/>
    <w:rsid w:val="00EB668E"/>
    <w:rsid w:val="00EC0C0E"/>
    <w:rsid w:val="00EE3BC1"/>
    <w:rsid w:val="00F0631A"/>
    <w:rsid w:val="00F07BFA"/>
    <w:rsid w:val="00F31A95"/>
    <w:rsid w:val="00F40490"/>
    <w:rsid w:val="00F87E03"/>
    <w:rsid w:val="00F92843"/>
    <w:rsid w:val="00FB5130"/>
    <w:rsid w:val="00FC54E0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51553E"/>
  <w14:defaultImageDpi w14:val="32767"/>
  <w15:chartTrackingRefBased/>
  <w15:docId w15:val="{7CEC0A4F-2A10-2A43-9530-A798EA40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3465C"/>
    <w:pPr>
      <w:spacing w:line="360" w:lineRule="auto"/>
      <w:ind w:firstLine="720"/>
      <w:jc w:val="both"/>
    </w:pPr>
    <w:rPr>
      <w:rFonts w:ascii="Times" w:hAnsi="Times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E13"/>
    <w:pPr>
      <w:keepNext/>
      <w:keepLines/>
      <w:numPr>
        <w:numId w:val="1"/>
      </w:numPr>
      <w:spacing w:before="240" w:after="120"/>
      <w:ind w:left="0"/>
      <w:jc w:val="center"/>
      <w:outlineLvl w:val="0"/>
    </w:pPr>
    <w:rPr>
      <w:rFonts w:eastAsiaTheme="majorEastAsia" w:cs="Times New Roman (Headings CS)"/>
      <w:b/>
      <w:caps/>
      <w:color w:val="000000" w:themeColor="text1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E03"/>
    <w:pPr>
      <w:keepNext/>
      <w:keepLines/>
      <w:numPr>
        <w:ilvl w:val="1"/>
        <w:numId w:val="1"/>
      </w:numPr>
      <w:tabs>
        <w:tab w:val="clear" w:pos="1559"/>
        <w:tab w:val="num" w:pos="1276"/>
      </w:tabs>
      <w:spacing w:before="240" w:after="120"/>
      <w:ind w:left="1276" w:hanging="556"/>
      <w:jc w:val="left"/>
      <w:outlineLvl w:val="1"/>
    </w:pPr>
    <w:rPr>
      <w:rFonts w:eastAsiaTheme="majorEastAsia" w:cstheme="majorBidi"/>
      <w:b/>
      <w:color w:val="000000" w:themeColor="text1"/>
      <w:lang w:val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87E0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E0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E0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E0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E0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E0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E0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qFormat/>
    <w:rsid w:val="0032736B"/>
    <w:pPr>
      <w:spacing w:line="240" w:lineRule="auto"/>
    </w:pPr>
    <w:rPr>
      <w:sz w:val="24"/>
      <w:szCs w:val="24"/>
      <w:lang w:val="ru-RU"/>
    </w:rPr>
  </w:style>
  <w:style w:type="character" w:customStyle="1" w:styleId="FootnoteTextChar">
    <w:name w:val="Footnote Text Char"/>
    <w:basedOn w:val="DefaultParagraphFont"/>
    <w:link w:val="FootnoteText"/>
    <w:rsid w:val="0032736B"/>
    <w:rPr>
      <w:rFonts w:ascii="Times" w:hAnsi="Times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395E13"/>
    <w:rPr>
      <w:rFonts w:ascii="Times" w:eastAsiaTheme="majorEastAsia" w:hAnsi="Times" w:cs="Times New Roman (Headings CS)"/>
      <w:b/>
      <w:caps/>
      <w:color w:val="000000" w:themeColor="text1"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F87E03"/>
    <w:rPr>
      <w:rFonts w:ascii="Times" w:eastAsiaTheme="majorEastAsia" w:hAnsi="Times" w:cstheme="majorBidi"/>
      <w:b/>
      <w:color w:val="000000" w:themeColor="text1"/>
      <w:sz w:val="28"/>
      <w:szCs w:val="28"/>
      <w:lang w:val="ru-RU"/>
    </w:rPr>
  </w:style>
  <w:style w:type="character" w:styleId="FootnoteReference">
    <w:name w:val="footnote reference"/>
    <w:basedOn w:val="DefaultParagraphFont"/>
    <w:uiPriority w:val="99"/>
    <w:unhideWhenUsed/>
    <w:qFormat/>
    <w:rsid w:val="0032736B"/>
    <w:rPr>
      <w:rFonts w:ascii="Times New Roman" w:hAnsi="Times New Roman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65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65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65C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65C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65C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6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7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36B"/>
    <w:pPr>
      <w:spacing w:line="24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36B"/>
    <w:rPr>
      <w:rFonts w:ascii="Times New Roman" w:hAnsi="Times New Roman" w:cs="Times New Roman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6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6B"/>
    <w:rPr>
      <w:rFonts w:ascii="Times New Roman" w:hAnsi="Times New Roman" w:cs="Times New Roman"/>
      <w:sz w:val="18"/>
      <w:szCs w:val="18"/>
      <w:lang w:val="en-US"/>
    </w:rPr>
  </w:style>
  <w:style w:type="paragraph" w:customStyle="1" w:styleId="Body">
    <w:name w:val="Body"/>
    <w:rsid w:val="007949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ru-RU"/>
    </w:rPr>
  </w:style>
  <w:style w:type="paragraph" w:styleId="ListParagraph">
    <w:name w:val="List Paragraph"/>
    <w:basedOn w:val="Normal"/>
    <w:uiPriority w:val="34"/>
    <w:rsid w:val="002756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efimov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gler/Library/Group%20Containers/UBF8T346G9.Office/User%20Content.localized/Templates.localized/&#1072;&#1082;&#1072;&#1076;&#1077;&#1084;&#1080;&#1095;&#1077;&#1089;&#1082;&#1080;&#1080;&#77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академический.dotx</Template>
  <TotalTime>4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 Artem</dc:creator>
  <cp:keywords/>
  <dc:description/>
  <cp:lastModifiedBy>Efimov Artem</cp:lastModifiedBy>
  <cp:revision>2</cp:revision>
  <dcterms:created xsi:type="dcterms:W3CDTF">2019-12-08T18:45:00Z</dcterms:created>
  <dcterms:modified xsi:type="dcterms:W3CDTF">2019-12-08T18:45:00Z</dcterms:modified>
</cp:coreProperties>
</file>